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suppressAutoHyphens w:val="1"/>
        <w:spacing w:line="240" w:lineRule="auto"/>
        <w:rPr>
          <w:sz w:val="36"/>
          <w:szCs w:val="36"/>
        </w:rPr>
      </w:pPr>
      <w:r>
        <w:rPr>
          <w:sz w:val="36"/>
          <w:szCs w:val="36"/>
          <w:rtl w:val="0"/>
          <w:lang w:val="en-US"/>
        </w:rPr>
        <w:t>Re</w:t>
      </w:r>
      <w:r>
        <w:rPr>
          <w:sz w:val="36"/>
          <w:szCs w:val="36"/>
          <w:rtl w:val="0"/>
          <w:lang w:val="en-US"/>
        </w:rPr>
        <w:t>cruitment</w:t>
      </w:r>
      <w:r>
        <w:rPr>
          <w:sz w:val="36"/>
          <w:szCs w:val="36"/>
          <w:rtl w:val="0"/>
          <w:lang w:val="en-US"/>
        </w:rPr>
        <w:t xml:space="preserve">: </w:t>
      </w:r>
      <w:r>
        <w:rPr>
          <w:sz w:val="36"/>
          <w:szCs w:val="36"/>
          <w:rtl w:val="0"/>
          <w:lang w:val="en-US"/>
        </w:rPr>
        <w:t>Brief Participant Information Leaflets (PILs)</w:t>
      </w:r>
      <w:r>
        <w:rPr>
          <w:sz w:val="36"/>
          <w:szCs w:val="36"/>
          <w:rtl w:val="0"/>
          <w:lang w:val="en-US"/>
        </w:rPr>
        <w:t xml:space="preserve"> (ID Re</w:t>
      </w:r>
      <w:r>
        <w:rPr>
          <w:sz w:val="36"/>
          <w:szCs w:val="36"/>
          <w:rtl w:val="0"/>
          <w:lang w:val="en-US"/>
        </w:rPr>
        <w:t>c8</w:t>
      </w:r>
      <w:r>
        <w:rPr>
          <w:sz w:val="36"/>
          <w:szCs w:val="36"/>
          <w:rtl w:val="0"/>
          <w:lang w:val="en-US"/>
        </w:rPr>
        <w:t>)</w:t>
      </w:r>
    </w:p>
    <w:p>
      <w:pPr>
        <w:pStyle w:val="Body A"/>
        <w:suppressAutoHyphens w:val="1"/>
        <w:spacing w:line="240" w:lineRule="auto"/>
        <w:rPr>
          <w:sz w:val="36"/>
          <w:szCs w:val="36"/>
        </w:rPr>
      </w:pPr>
    </w:p>
    <w:p>
      <w:pPr>
        <w:pStyle w:val="Body A"/>
        <w:suppressAutoHyphens w:val="1"/>
        <w:spacing w:line="240" w:lineRule="auto"/>
      </w:pPr>
      <w:r>
        <w:rPr>
          <w:rtl w:val="0"/>
          <w:lang w:val="en-US"/>
        </w:rPr>
        <w:t>General</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b w:val="0"/>
          <w:bCs w:val="0"/>
          <w:outline w:val="0"/>
          <w:color w:val="000000"/>
          <w:sz w:val="24"/>
          <w:szCs w:val="24"/>
          <w:u w:color="000000"/>
          <w:rtl w:val="0"/>
          <w:lang w:val="en-US"/>
          <w14:textFill>
            <w14:solidFill>
              <w14:srgbClr w14:val="000000"/>
            </w14:solidFill>
          </w14:textFill>
        </w:rPr>
        <w:t xml:space="preserve">This document uses the five criteria listed in Trial Forge Guidance 2 </w:t>
      </w:r>
      <w:r>
        <w:rPr>
          <w:b w:val="0"/>
          <w:bCs w:val="0"/>
          <w:outline w:val="0"/>
          <w:color w:val="000000"/>
          <w:sz w:val="24"/>
          <w:szCs w:val="24"/>
          <w:u w:color="000000"/>
          <w:rtl w:val="0"/>
          <w:lang w:val="en-US"/>
          <w14:textFill>
            <w14:solidFill>
              <w14:srgbClr w14:val="000000"/>
            </w14:solidFill>
          </w14:textFill>
        </w:rPr>
        <w:t>‘</w:t>
      </w:r>
      <w:r>
        <w:rPr>
          <w:b w:val="0"/>
          <w:bCs w:val="0"/>
          <w:outline w:val="0"/>
          <w:color w:val="000000"/>
          <w:sz w:val="24"/>
          <w:szCs w:val="24"/>
          <w:u w:color="000000"/>
          <w:rtl w:val="0"/>
          <w:lang w:val="en-US"/>
          <w14:textFill>
            <w14:solidFill>
              <w14:srgbClr w14:val="000000"/>
            </w14:solidFill>
          </w14:textFill>
        </w:rPr>
        <w:t>How to decide if a further Study Within A Trial (SWAT) is needed</w:t>
      </w:r>
      <w:r>
        <w:rPr>
          <w:b w:val="0"/>
          <w:bCs w:val="0"/>
          <w:outline w:val="0"/>
          <w:color w:val="000000"/>
          <w:sz w:val="24"/>
          <w:szCs w:val="24"/>
          <w:u w:color="000000"/>
          <w:rtl w:val="0"/>
          <w:lang w:val="en-US"/>
          <w14:textFill>
            <w14:solidFill>
              <w14:srgbClr w14:val="000000"/>
            </w14:solidFill>
          </w14:textFill>
        </w:rPr>
        <w:t xml:space="preserve">’ </w:t>
      </w:r>
      <w:r>
        <w:rPr>
          <w:b w:val="0"/>
          <w:bCs w:val="0"/>
          <w:outline w:val="0"/>
          <w:color w:val="000000"/>
          <w:sz w:val="24"/>
          <w:szCs w:val="24"/>
          <w:u w:color="000000"/>
          <w:rtl w:val="0"/>
          <w:lang w:val="en-US"/>
          <w14:textFill>
            <w14:solidFill>
              <w14:srgbClr w14:val="000000"/>
            </w14:solidFill>
          </w14:textFill>
        </w:rPr>
        <w:t>(</w:t>
      </w:r>
      <w:r>
        <w:rPr>
          <w:rStyle w:val="Hyperlink.0"/>
        </w:rPr>
        <w:fldChar w:fldCharType="begin" w:fldLock="0"/>
      </w:r>
      <w:r>
        <w:rPr>
          <w:rStyle w:val="Hyperlink.0"/>
        </w:rPr>
        <w:instrText xml:space="preserve"> HYPERLINK "https://doi.org/10.1186/s13063-019-3980-5"</w:instrText>
      </w:r>
      <w:r>
        <w:rPr>
          <w:rStyle w:val="Hyperlink.0"/>
        </w:rPr>
        <w:fldChar w:fldCharType="separate" w:fldLock="0"/>
      </w:r>
      <w:r>
        <w:rPr>
          <w:rStyle w:val="Hyperlink.0"/>
          <w:rtl w:val="0"/>
          <w:lang w:val="en-US"/>
        </w:rPr>
        <w:t>https://doi.org/10.1186/s13063-019-3980-5</w:t>
      </w:r>
      <w:r>
        <w:rPr/>
        <w:fldChar w:fldCharType="end" w:fldLock="0"/>
      </w:r>
      <w:r>
        <w:rPr>
          <w:rStyle w:val="None"/>
          <w:b w:val="0"/>
          <w:bCs w:val="0"/>
          <w:outline w:val="0"/>
          <w:color w:val="000000"/>
          <w:sz w:val="24"/>
          <w:szCs w:val="24"/>
          <w:u w:color="000000"/>
          <w:rtl w:val="0"/>
          <w:lang w:val="en-US"/>
          <w14:textFill>
            <w14:solidFill>
              <w14:srgbClr w14:val="000000"/>
            </w14:solidFill>
          </w14:textFill>
        </w:rPr>
        <w:t>).  The criteria are listed in Appendix 1 at the end of this document.</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pPr>
      <w:r>
        <w:rPr>
          <w:rStyle w:val="None"/>
          <w:rtl w:val="0"/>
          <w:lang w:val="en-US"/>
        </w:rPr>
        <w:t xml:space="preserve">Do we need more evaluations of </w:t>
      </w:r>
      <w:r>
        <w:rPr>
          <w:rStyle w:val="None"/>
          <w:rtl w:val="0"/>
          <w:lang w:val="en-US"/>
        </w:rPr>
        <w:t>brief PILs</w:t>
      </w:r>
      <w:r>
        <w:rPr>
          <w:rStyle w:val="None"/>
          <w:rtl w:val="0"/>
          <w:lang w:val="en-US"/>
        </w:rPr>
        <w:t>?</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Yes.</w:t>
      </w:r>
    </w:p>
    <w:p>
      <w:pPr>
        <w:pStyle w:val="Body A"/>
        <w:suppressAutoHyphens w:val="1"/>
        <w:spacing w:line="240" w:lineRule="auto"/>
        <w:rPr>
          <w:rStyle w:val="None"/>
          <w:b w:val="0"/>
          <w:bCs w:val="0"/>
          <w:outline w:val="0"/>
          <w:color w:val="000000"/>
          <w:sz w:val="22"/>
          <w:szCs w:val="22"/>
          <w:u w:color="000000"/>
          <w14:textFill>
            <w14:solidFill>
              <w14:srgbClr w14:val="000000"/>
            </w14:solidFill>
          </w14:textFill>
        </w:rPr>
      </w:pPr>
    </w:p>
    <w:p>
      <w:pPr>
        <w:pStyle w:val="Body A"/>
        <w:suppressAutoHyphens w:val="1"/>
        <w:spacing w:line="240" w:lineRule="auto"/>
      </w:pPr>
      <w:r>
        <w:rPr>
          <w:rStyle w:val="None"/>
          <w:rtl w:val="0"/>
          <w:lang w:val="en-US"/>
        </w:rPr>
        <w:t>Why do we need more evaluations and in what sort of host trial?</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 xml:space="preserve">A trial team is likely to consider information about the following essential when deciding whether a further evaluation of </w:t>
      </w:r>
      <w:r>
        <w:rPr>
          <w:rStyle w:val="None"/>
          <w:b w:val="0"/>
          <w:bCs w:val="0"/>
          <w:outline w:val="0"/>
          <w:color w:val="000000"/>
          <w:sz w:val="24"/>
          <w:szCs w:val="24"/>
          <w:u w:color="000000"/>
          <w:rtl w:val="0"/>
          <w:lang w:val="en-US"/>
          <w14:textFill>
            <w14:solidFill>
              <w14:srgbClr w14:val="000000"/>
            </w14:solidFill>
          </w14:textFill>
        </w:rPr>
        <w:t>brief PILs as a recruitment intervention</w:t>
      </w:r>
      <w:r>
        <w:rPr>
          <w:rStyle w:val="None"/>
          <w:b w:val="0"/>
          <w:bCs w:val="0"/>
          <w:outline w:val="0"/>
          <w:color w:val="000000"/>
          <w:sz w:val="24"/>
          <w:szCs w:val="24"/>
          <w:u w:color="000000"/>
          <w:rtl w:val="0"/>
          <w:lang w:val="en-US"/>
          <w14:textFill>
            <w14:solidFill>
              <w14:srgbClr w14:val="000000"/>
            </w14:solidFill>
          </w14:textFill>
        </w:rPr>
        <w:t xml:space="preserve"> should form part of their </w:t>
      </w:r>
      <w:r>
        <w:rPr>
          <w:rStyle w:val="None"/>
          <w:b w:val="0"/>
          <w:bCs w:val="0"/>
          <w:outline w:val="0"/>
          <w:color w:val="000000"/>
          <w:sz w:val="24"/>
          <w:szCs w:val="24"/>
          <w:u w:color="000000"/>
          <w:rtl w:val="0"/>
          <w:lang w:val="en-US"/>
          <w14:textFill>
            <w14:solidFill>
              <w14:srgbClr w14:val="000000"/>
            </w14:solidFill>
          </w14:textFill>
        </w:rPr>
        <w:t xml:space="preserve">recruitment </w:t>
      </w:r>
      <w:r>
        <w:rPr>
          <w:rStyle w:val="None"/>
          <w:b w:val="0"/>
          <w:bCs w:val="0"/>
          <w:outline w:val="0"/>
          <w:color w:val="000000"/>
          <w:sz w:val="24"/>
          <w:szCs w:val="24"/>
          <w:u w:color="000000"/>
          <w:rtl w:val="0"/>
          <w:lang w:val="en-US"/>
          <w14:textFill>
            <w14:solidFill>
              <w14:srgbClr w14:val="000000"/>
            </w14:solidFill>
          </w14:textFill>
        </w:rPr>
        <w:t xml:space="preserve">strategy: </w:t>
        <w:tab/>
      </w:r>
    </w:p>
    <w:p>
      <w:pPr>
        <w:pStyle w:val="Body A"/>
        <w:numPr>
          <w:ilvl w:val="0"/>
          <w:numId w:val="2"/>
        </w:numPr>
        <w:suppressAutoHyphens w:val="1"/>
        <w:bidi w:val="0"/>
        <w:spacing w:line="240" w:lineRule="auto"/>
        <w:ind w:right="0"/>
        <w:jc w:val="left"/>
        <w:rPr>
          <w:b w:val="0"/>
          <w:bCs w:val="0"/>
          <w:outline w:val="0"/>
          <w:color w:val="000000"/>
          <w:sz w:val="24"/>
          <w:szCs w:val="24"/>
          <w:rtl w:val="0"/>
          <w:lang w:val="fr-FR"/>
          <w14:textFill>
            <w14:solidFill>
              <w14:srgbClr w14:val="000000"/>
            </w14:solidFill>
          </w14:textFill>
        </w:rPr>
      </w:pPr>
      <w:r>
        <w:rPr>
          <w:rStyle w:val="None"/>
          <w:b w:val="0"/>
          <w:bCs w:val="0"/>
          <w:outline w:val="0"/>
          <w:color w:val="000000"/>
          <w:sz w:val="24"/>
          <w:szCs w:val="24"/>
          <w:u w:color="000000"/>
          <w:rtl w:val="0"/>
          <w:lang w:val="fr-FR"/>
          <w14:textFill>
            <w14:solidFill>
              <w14:srgbClr w14:val="000000"/>
            </w14:solidFill>
          </w14:textFill>
        </w:rPr>
        <w:t xml:space="preserve">effect on </w:t>
      </w:r>
      <w:r>
        <w:rPr>
          <w:rStyle w:val="None"/>
          <w:b w:val="0"/>
          <w:bCs w:val="0"/>
          <w:outline w:val="0"/>
          <w:color w:val="000000"/>
          <w:sz w:val="24"/>
          <w:szCs w:val="24"/>
          <w:u w:color="000000"/>
          <w:rtl w:val="0"/>
          <w:lang w:val="fr-FR"/>
          <w14:textFill>
            <w14:solidFill>
              <w14:srgbClr w14:val="000000"/>
            </w14:solidFill>
          </w14:textFill>
        </w:rPr>
        <w:t>recruitment</w:t>
      </w:r>
    </w:p>
    <w:p>
      <w:pPr>
        <w:pStyle w:val="Body A"/>
        <w:numPr>
          <w:ilvl w:val="0"/>
          <w:numId w:val="2"/>
        </w:numPr>
        <w:suppressAutoHyphens w:val="1"/>
        <w:bidi w:val="0"/>
        <w:spacing w:line="240" w:lineRule="auto"/>
        <w:ind w:right="0"/>
        <w:jc w:val="left"/>
        <w:rPr>
          <w:b w:val="0"/>
          <w:bCs w:val="0"/>
          <w:outline w:val="0"/>
          <w:color w:val="000000"/>
          <w:sz w:val="24"/>
          <w:szCs w:val="24"/>
          <w:rtl w:val="0"/>
          <w:lang w:val="it-IT"/>
          <w14:textFill>
            <w14:solidFill>
              <w14:srgbClr w14:val="000000"/>
            </w14:solidFill>
          </w14:textFill>
        </w:rPr>
      </w:pPr>
      <w:r>
        <w:rPr>
          <w:rStyle w:val="None"/>
          <w:b w:val="0"/>
          <w:bCs w:val="0"/>
          <w:outline w:val="0"/>
          <w:color w:val="000000"/>
          <w:sz w:val="24"/>
          <w:szCs w:val="24"/>
          <w:u w:color="000000"/>
          <w:rtl w:val="0"/>
          <w:lang w:val="it-IT"/>
          <w14:textFill>
            <w14:solidFill>
              <w14:srgbClr w14:val="000000"/>
            </w14:solidFill>
          </w14:textFill>
        </w:rPr>
        <w:t>cost</w:t>
      </w:r>
      <w:r>
        <w:rPr>
          <w:rStyle w:val="None"/>
          <w:b w:val="0"/>
          <w:bCs w:val="0"/>
          <w:outline w:val="0"/>
          <w:color w:val="000000"/>
          <w:sz w:val="24"/>
          <w:szCs w:val="24"/>
          <w:u w:color="000000"/>
          <w:rtl w:val="0"/>
          <w:lang w:val="it-IT"/>
          <w14:textFill>
            <w14:solidFill>
              <w14:srgbClr w14:val="000000"/>
            </w14:solidFill>
          </w14:textFill>
        </w:rPr>
        <w:t xml:space="preserve"> (time and money)</w:t>
      </w:r>
    </w:p>
    <w:p>
      <w:pPr>
        <w:pStyle w:val="Body A"/>
        <w:numPr>
          <w:ilvl w:val="0"/>
          <w:numId w:val="2"/>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0"/>
          <w:bCs w:val="0"/>
          <w:outline w:val="0"/>
          <w:color w:val="000000"/>
          <w:sz w:val="24"/>
          <w:szCs w:val="24"/>
          <w:u w:color="000000"/>
          <w:rtl w:val="0"/>
          <w:lang w:val="it-IT"/>
          <w14:textFill>
            <w14:solidFill>
              <w14:srgbClr w14:val="000000"/>
            </w14:solidFill>
          </w14:textFill>
        </w:rPr>
        <w:t xml:space="preserve">negative </w:t>
      </w:r>
      <w:r>
        <w:rPr>
          <w:rStyle w:val="None"/>
          <w:b w:val="0"/>
          <w:bCs w:val="0"/>
          <w:outline w:val="0"/>
          <w:color w:val="000000"/>
          <w:sz w:val="24"/>
          <w:szCs w:val="24"/>
          <w:u w:color="000000"/>
          <w:rtl w:val="0"/>
          <w:lang w:val="en-US"/>
          <w14:textFill>
            <w14:solidFill>
              <w14:srgbClr w14:val="000000"/>
            </w14:solidFill>
          </w14:textFill>
        </w:rPr>
        <w:t xml:space="preserve">participant </w:t>
      </w:r>
      <w:r>
        <w:rPr>
          <w:rStyle w:val="None"/>
          <w:b w:val="0"/>
          <w:bCs w:val="0"/>
          <w:outline w:val="0"/>
          <w:color w:val="000000"/>
          <w:sz w:val="24"/>
          <w:szCs w:val="24"/>
          <w:u w:color="000000"/>
          <w:rtl w:val="0"/>
          <w:lang w:val="en-US"/>
          <w14:textFill>
            <w14:solidFill>
              <w14:srgbClr w14:val="000000"/>
            </w14:solidFill>
          </w14:textFill>
        </w:rPr>
        <w:t>reaction to not being offered more information</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sz w:val="24"/>
          <w:szCs w:val="24"/>
        </w:rPr>
      </w:pPr>
      <w:r>
        <w:rPr>
          <w:rStyle w:val="None"/>
          <w:sz w:val="24"/>
          <w:szCs w:val="24"/>
          <w:rtl w:val="0"/>
          <w:lang w:val="en-US"/>
        </w:rPr>
        <w:t>Applying the five criteria</w:t>
      </w:r>
    </w:p>
    <w:p>
      <w:pPr>
        <w:pStyle w:val="Body A"/>
        <w:suppressAutoHyphens w:val="1"/>
        <w:spacing w:line="240" w:lineRule="auto"/>
        <w:rPr>
          <w:rStyle w:val="None"/>
          <w:b w:val="0"/>
          <w:bCs w:val="0"/>
          <w:outline w:val="0"/>
          <w:color w:val="000000"/>
          <w:sz w:val="24"/>
          <w:szCs w:val="24"/>
          <w14:textFill>
            <w14:solidFill>
              <w14:srgbClr w14:val="000000"/>
            </w14:solidFill>
          </w14:textFill>
        </w:rPr>
      </w:pPr>
      <w:r>
        <w:rPr>
          <w:rStyle w:val="None"/>
          <w:b w:val="0"/>
          <w:bCs w:val="0"/>
          <w:outline w:val="0"/>
          <w:color w:val="000000"/>
          <w:sz w:val="24"/>
          <w:szCs w:val="24"/>
          <w:rtl w:val="0"/>
          <w:lang w:val="en-US"/>
          <w14:textFill>
            <w14:solidFill>
              <w14:srgbClr w14:val="000000"/>
            </w14:solidFill>
          </w14:textFill>
        </w:rPr>
        <w:t>Evidence comes from the 2018 Cochrane review of interventions to improve recruitment</w:t>
      </w:r>
      <w:r>
        <w:rPr>
          <w:rStyle w:val="None"/>
          <w:b w:val="0"/>
          <w:bCs w:val="0"/>
          <w:outline w:val="0"/>
          <w:color w:val="000000"/>
          <w:sz w:val="24"/>
          <w:szCs w:val="24"/>
          <w:vertAlign w:val="superscript"/>
          <w:rtl w:val="0"/>
          <w:lang w:val="en-US"/>
          <w14:textFill>
            <w14:solidFill>
              <w14:srgbClr w14:val="000000"/>
            </w14:solidFill>
          </w14:textFill>
        </w:rPr>
        <w:t>1</w:t>
      </w:r>
      <w:r>
        <w:rPr>
          <w:rStyle w:val="None"/>
          <w:b w:val="0"/>
          <w:bCs w:val="0"/>
          <w:outline w:val="0"/>
          <w:color w:val="000000"/>
          <w:sz w:val="24"/>
          <w:szCs w:val="24"/>
          <w:rtl w:val="0"/>
          <w:lang w:val="en-US"/>
          <w14:textFill>
            <w14:solidFill>
              <w14:srgbClr w14:val="000000"/>
            </w14:solidFill>
          </w14:textFill>
        </w:rPr>
        <w:t>.</w:t>
      </w:r>
    </w:p>
    <w:p>
      <w:pPr>
        <w:pStyle w:val="Body A"/>
        <w:suppressAutoHyphens w:val="1"/>
        <w:spacing w:line="240" w:lineRule="auto"/>
        <w:rPr>
          <w:rStyle w:val="None"/>
          <w:b w:val="0"/>
          <w:bCs w:val="0"/>
          <w:outline w:val="0"/>
          <w:color w:val="000000"/>
          <w:sz w:val="24"/>
          <w:szCs w:val="24"/>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en-US"/>
          <w14:textFill>
            <w14:solidFill>
              <w14:srgbClr w14:val="000000"/>
            </w14:solidFill>
          </w14:textFill>
        </w:rPr>
        <w:t>Outcome availability</w:t>
      </w:r>
      <w:r>
        <w:rPr>
          <w:rStyle w:val="None"/>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Data </w:t>
      </w:r>
      <w:r>
        <w:rPr>
          <w:rStyle w:val="None"/>
          <w:b w:val="0"/>
          <w:bCs w:val="0"/>
          <w:outline w:val="0"/>
          <w:color w:val="000000"/>
          <w:sz w:val="24"/>
          <w:szCs w:val="24"/>
          <w:u w:color="000000"/>
          <w:rtl w:val="0"/>
          <w:lang w:val="it-IT"/>
          <w14:textFill>
            <w14:solidFill>
              <w14:srgbClr w14:val="000000"/>
            </w14:solidFill>
          </w14:textFill>
        </w:rPr>
        <w:t xml:space="preserve">are </w:t>
      </w:r>
      <w:r>
        <w:rPr>
          <w:rStyle w:val="None"/>
          <w:b w:val="0"/>
          <w:bCs w:val="0"/>
          <w:outline w:val="0"/>
          <w:color w:val="000000"/>
          <w:sz w:val="24"/>
          <w:szCs w:val="24"/>
          <w:u w:color="000000"/>
          <w:rtl w:val="0"/>
          <w:lang w:val="en-US"/>
          <w14:textFill>
            <w14:solidFill>
              <w14:srgbClr w14:val="000000"/>
            </w14:solidFill>
          </w14:textFill>
        </w:rPr>
        <w:t xml:space="preserve">only available for </w:t>
      </w:r>
      <w:r>
        <w:rPr>
          <w:rStyle w:val="None"/>
          <w:b w:val="0"/>
          <w:bCs w:val="0"/>
          <w:outline w:val="0"/>
          <w:color w:val="000000"/>
          <w:sz w:val="24"/>
          <w:szCs w:val="24"/>
          <w:u w:color="000000"/>
          <w:rtl w:val="0"/>
          <w:lang w:val="en-US"/>
          <w14:textFill>
            <w14:solidFill>
              <w14:srgbClr w14:val="000000"/>
            </w14:solidFill>
          </w14:textFill>
        </w:rPr>
        <w:t>recruitment</w:t>
      </w:r>
      <w:r>
        <w:rPr>
          <w:rStyle w:val="None"/>
          <w:b w:val="0"/>
          <w:bCs w:val="0"/>
          <w:outline w:val="0"/>
          <w:color w:val="000000"/>
          <w:sz w:val="24"/>
          <w:szCs w:val="24"/>
          <w:u w:color="000000"/>
          <w:rtl w:val="0"/>
          <w:lang w:val="en-US"/>
          <w14:textFill>
            <w14:solidFill>
              <w14:srgbClr w14:val="000000"/>
            </w14:solidFill>
          </w14:textFill>
        </w:rPr>
        <w:t xml:space="preserve">. </w:t>
      </w:r>
    </w:p>
    <w:p>
      <w:pPr>
        <w:pStyle w:val="Body A"/>
        <w:suppressAutoHyphens w:val="1"/>
        <w:spacing w:line="240" w:lineRule="auto"/>
        <w:rPr>
          <w:rStyle w:val="None"/>
          <w:sz w:val="24"/>
          <w:szCs w:val="24"/>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da-DK"/>
          <w14:textFill>
            <w14:solidFill>
              <w14:srgbClr w14:val="000000"/>
            </w14:solidFill>
          </w14:textFill>
        </w:rPr>
        <w:t>GRADE</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The overall GRADE certainty in the evidence is moderate.  </w:t>
      </w:r>
      <w:r>
        <w:rPr>
          <w:rStyle w:val="None"/>
          <w:rFonts w:ascii="Open Sans Semibold" w:hAnsi="Open Sans Semibold"/>
          <w:b w:val="0"/>
          <w:bCs w:val="0"/>
          <w:i w:val="1"/>
          <w:iCs w:val="1"/>
          <w:outline w:val="0"/>
          <w:color w:val="000000"/>
          <w:sz w:val="24"/>
          <w:szCs w:val="24"/>
          <w:u w:color="000000"/>
          <w:rtl w:val="0"/>
          <w:lang w:val="it-IT"/>
          <w14:textFill>
            <w14:solidFill>
              <w14:srgbClr w14:val="000000"/>
            </w14:solidFill>
          </w14:textFill>
        </w:rPr>
        <w:t>Criterion met</w:t>
      </w:r>
      <w:r>
        <w:rPr>
          <w:rStyle w:val="None"/>
          <w:b w:val="0"/>
          <w:bCs w:val="0"/>
          <w:outline w:val="0"/>
          <w:color w:val="000000"/>
          <w:sz w:val="24"/>
          <w:szCs w:val="24"/>
          <w:u w:color="000000"/>
          <w:rtl w:val="0"/>
          <w:lang w:val="en-US"/>
          <w14:textFill>
            <w14:solidFill>
              <w14:srgbClr w14:val="000000"/>
            </w14:solidFill>
          </w14:textFill>
        </w:rPr>
        <w:t xml:space="preserve"> (the GRADE certainty in the evidence for all essential outcomes is lower than </w:t>
      </w:r>
      <w:r>
        <w:rPr>
          <w:rStyle w:val="None"/>
          <w:b w:val="0"/>
          <w:bCs w:val="0"/>
          <w:outline w:val="0"/>
          <w:color w:val="000000"/>
          <w:sz w:val="24"/>
          <w:szCs w:val="24"/>
          <w:u w:color="000000"/>
          <w:rtl w:val="0"/>
          <w:lang w:val="en-US"/>
          <w14:textFill>
            <w14:solidFill>
              <w14:srgbClr w14:val="000000"/>
            </w14:solidFill>
          </w14:textFill>
        </w:rPr>
        <w:t>‘</w:t>
      </w:r>
      <w:r>
        <w:rPr>
          <w:rStyle w:val="None"/>
          <w:b w:val="0"/>
          <w:bCs w:val="0"/>
          <w:outline w:val="0"/>
          <w:color w:val="000000"/>
          <w:sz w:val="24"/>
          <w:szCs w:val="24"/>
          <w:u w:color="000000"/>
          <w:rtl w:val="0"/>
          <w:lang w:val="en-US"/>
          <w14:textFill>
            <w14:solidFill>
              <w14:srgbClr w14:val="000000"/>
            </w14:solidFill>
          </w14:textFill>
        </w:rPr>
        <w:t>high</w:t>
      </w:r>
      <w:r>
        <w:rPr>
          <w:rStyle w:val="None"/>
          <w:b w:val="0"/>
          <w:bCs w:val="0"/>
          <w:outline w:val="0"/>
          <w:color w:val="000000"/>
          <w:sz w:val="24"/>
          <w:szCs w:val="24"/>
          <w:u w:color="000000"/>
          <w:rtl w:val="0"/>
          <w:lang w:val="en-US"/>
          <w14:textFill>
            <w14:solidFill>
              <w14:srgbClr w14:val="000000"/>
            </w14:solidFill>
          </w14:textFill>
        </w:rPr>
        <w:t>’</w:t>
      </w:r>
      <w:r>
        <w:rPr>
          <w:rStyle w:val="None"/>
          <w:b w:val="0"/>
          <w:bCs w:val="0"/>
          <w:outline w:val="0"/>
          <w:color w:val="000000"/>
          <w:sz w:val="24"/>
          <w:szCs w:val="24"/>
          <w:u w:color="000000"/>
          <w:rtl w:val="0"/>
          <w:lang w:val="en-US"/>
          <w14:textFill>
            <w14:solidFill>
              <w14:srgbClr w14:val="000000"/>
            </w14:solidFill>
          </w14:textFill>
        </w:rPr>
        <w:t xml:space="preserve">). </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en-US"/>
          <w14:textFill>
            <w14:solidFill>
              <w14:srgbClr w14:val="000000"/>
            </w14:solidFill>
          </w14:textFill>
        </w:rPr>
        <w:t>Cumulative evidence</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There are </w:t>
      </w:r>
      <w:r>
        <w:rPr>
          <w:rStyle w:val="None"/>
          <w:b w:val="0"/>
          <w:bCs w:val="0"/>
          <w:outline w:val="0"/>
          <w:color w:val="000000"/>
          <w:sz w:val="24"/>
          <w:szCs w:val="24"/>
          <w:u w:color="000000"/>
          <w:rtl w:val="0"/>
          <w:lang w:val="en-US"/>
          <w14:textFill>
            <w14:solidFill>
              <w14:srgbClr w14:val="000000"/>
            </w14:solidFill>
          </w14:textFill>
        </w:rPr>
        <w:t>two</w:t>
      </w:r>
      <w:r>
        <w:rPr>
          <w:rStyle w:val="None"/>
          <w:b w:val="0"/>
          <w:bCs w:val="0"/>
          <w:outline w:val="0"/>
          <w:color w:val="000000"/>
          <w:sz w:val="24"/>
          <w:szCs w:val="24"/>
          <w:u w:color="000000"/>
          <w:rtl w:val="0"/>
          <w:lang w:val="en-US"/>
          <w14:textFill>
            <w14:solidFill>
              <w14:srgbClr w14:val="000000"/>
            </w14:solidFill>
          </w14:textFill>
        </w:rPr>
        <w:t xml:space="preserve"> trials </w:t>
      </w:r>
      <w:r>
        <w:rPr>
          <w:rStyle w:val="None"/>
          <w:b w:val="0"/>
          <w:bCs w:val="0"/>
          <w:outline w:val="0"/>
          <w:color w:val="000000"/>
          <w:sz w:val="24"/>
          <w:szCs w:val="24"/>
          <w:u w:color="000000"/>
          <w:rtl w:val="0"/>
          <w:lang w:val="en-US"/>
          <w14:textFill>
            <w14:solidFill>
              <w14:srgbClr w14:val="000000"/>
            </w14:solidFill>
          </w14:textFill>
        </w:rPr>
        <w:t>and it seems too early to conclude that th</w:t>
      </w:r>
      <w:r>
        <w:rPr>
          <w:rStyle w:val="None"/>
          <w:b w:val="0"/>
          <w:bCs w:val="0"/>
          <w:outline w:val="0"/>
          <w:color w:val="000000"/>
          <w:sz w:val="24"/>
          <w:szCs w:val="24"/>
          <w:u w:color="000000"/>
          <w:rtl w:val="0"/>
          <w:lang w:val="en-US"/>
          <w14:textFill>
            <w14:solidFill>
              <w14:srgbClr w14:val="000000"/>
            </w14:solidFill>
          </w14:textFill>
        </w:rPr>
        <w:t>e cumula</w:t>
      </w:r>
      <w:r>
        <w:rPr>
          <w:rStyle w:val="None"/>
          <w:outline w:val="0"/>
          <w:color w:val="000000"/>
          <w:u w:color="000000"/>
          <w:lang w:val="en-US"/>
          <w14:textFill>
            <w14:solidFill>
              <w14:srgbClr w14:val="000000"/>
            </w14:solidFill>
          </w14:textFill>
        </w:rPr>
        <w:drawing>
          <wp:anchor distT="0" distB="0" distL="0" distR="0" simplePos="0" relativeHeight="251659264" behindDoc="0" locked="0" layoutInCell="1" allowOverlap="1">
            <wp:simplePos x="0" y="0"/>
            <wp:positionH relativeFrom="page">
              <wp:posOffset>2670431</wp:posOffset>
            </wp:positionH>
            <wp:positionV relativeFrom="page">
              <wp:posOffset>0</wp:posOffset>
            </wp:positionV>
            <wp:extent cx="2219135" cy="780459"/>
            <wp:effectExtent l="0" t="0" r="0" b="0"/>
            <wp:wrapNone/>
            <wp:docPr id="1073741825" name="officeArt object" descr="trialforge-colour.jpg"/>
            <wp:cNvGraphicFramePr/>
            <a:graphic xmlns:a="http://schemas.openxmlformats.org/drawingml/2006/main">
              <a:graphicData uri="http://schemas.openxmlformats.org/drawingml/2006/picture">
                <pic:pic xmlns:pic="http://schemas.openxmlformats.org/drawingml/2006/picture">
                  <pic:nvPicPr>
                    <pic:cNvPr id="1073741825" name="trialforge-colour.jpg" descr="trialforge-colour.jpg"/>
                    <pic:cNvPicPr>
                      <a:picLocks noChangeAspect="1"/>
                    </pic:cNvPicPr>
                  </pic:nvPicPr>
                  <pic:blipFill>
                    <a:blip r:embed="rId4">
                      <a:extLst/>
                    </a:blip>
                    <a:stretch>
                      <a:fillRect/>
                    </a:stretch>
                  </pic:blipFill>
                  <pic:spPr>
                    <a:xfrm>
                      <a:off x="0" y="0"/>
                      <a:ext cx="2219135" cy="780459"/>
                    </a:xfrm>
                    <a:prstGeom prst="rect">
                      <a:avLst/>
                    </a:prstGeom>
                    <a:ln w="12700" cap="flat">
                      <a:noFill/>
                      <a:miter lim="400000"/>
                    </a:ln>
                    <a:effectLst/>
                  </pic:spPr>
                </pic:pic>
              </a:graphicData>
            </a:graphic>
          </wp:anchor>
        </w:drawing>
      </w:r>
      <w:r>
        <w:rPr>
          <w:rStyle w:val="None"/>
          <w:outline w:val="0"/>
          <w:color w:val="000000"/>
          <w:u w:color="000000"/>
          <w:lang w:val="en-US"/>
          <w14:textFill>
            <w14:solidFill>
              <w14:srgbClr w14:val="000000"/>
            </w14:solidFill>
          </w14:textFill>
        </w:rPr>
        <w:drawing>
          <wp:anchor distT="0" distB="0" distL="0" distR="0" simplePos="0" relativeHeight="251660288" behindDoc="0" locked="0" layoutInCell="1" allowOverlap="1">
            <wp:simplePos x="0" y="0"/>
            <wp:positionH relativeFrom="page">
              <wp:posOffset>8067361</wp:posOffset>
            </wp:positionH>
            <wp:positionV relativeFrom="page">
              <wp:posOffset>635296</wp:posOffset>
            </wp:positionV>
            <wp:extent cx="2006239" cy="705585"/>
            <wp:effectExtent l="0" t="0" r="0" b="0"/>
            <wp:wrapSquare wrapText="bothSides" distL="0" distR="0" distT="0" distB="0"/>
            <wp:docPr id="1073741826" name="officeArt object" descr="trialforge-colour.jpg"/>
            <wp:cNvGraphicFramePr/>
            <a:graphic xmlns:a="http://schemas.openxmlformats.org/drawingml/2006/main">
              <a:graphicData uri="http://schemas.openxmlformats.org/drawingml/2006/picture">
                <pic:pic xmlns:pic="http://schemas.openxmlformats.org/drawingml/2006/picture">
                  <pic:nvPicPr>
                    <pic:cNvPr id="1073741826" name="trialforge-colour.jpg" descr="trialforge-colour.jpg"/>
                    <pic:cNvPicPr>
                      <a:picLocks noChangeAspect="1"/>
                    </pic:cNvPicPr>
                  </pic:nvPicPr>
                  <pic:blipFill>
                    <a:blip r:embed="rId4">
                      <a:extLst/>
                    </a:blip>
                    <a:stretch>
                      <a:fillRect/>
                    </a:stretch>
                  </pic:blipFill>
                  <pic:spPr>
                    <a:xfrm>
                      <a:off x="0" y="0"/>
                      <a:ext cx="2006239" cy="705585"/>
                    </a:xfrm>
                    <a:prstGeom prst="rect">
                      <a:avLst/>
                    </a:prstGeom>
                    <a:ln w="12700" cap="flat">
                      <a:noFill/>
                      <a:miter lim="400000"/>
                    </a:ln>
                    <a:effectLst/>
                  </pic:spPr>
                </pic:pic>
              </a:graphicData>
            </a:graphic>
          </wp:anchor>
        </w:drawing>
      </w:r>
      <w:r>
        <w:rPr>
          <w:rStyle w:val="None"/>
          <w:b w:val="0"/>
          <w:bCs w:val="0"/>
          <w:outline w:val="0"/>
          <w:color w:val="000000"/>
          <w:sz w:val="24"/>
          <w:szCs w:val="24"/>
          <w:u w:color="000000"/>
          <w:rtl w:val="0"/>
          <w:lang w:val="en-US"/>
          <w14:textFill>
            <w14:solidFill>
              <w14:srgbClr w14:val="000000"/>
            </w14:solidFill>
          </w14:textFill>
        </w:rPr>
        <w:t xml:space="preserve">tive meta-analysis has converged.  </w:t>
      </w:r>
      <w:r>
        <w:rPr>
          <w:rStyle w:val="None"/>
          <w:rFonts w:ascii="Open Sans Semibold" w:hAnsi="Open Sans Semibold"/>
          <w:b w:val="0"/>
          <w:bCs w:val="0"/>
          <w:i w:val="1"/>
          <w:iCs w:val="1"/>
          <w:outline w:val="0"/>
          <w:color w:val="000000"/>
          <w:sz w:val="24"/>
          <w:szCs w:val="24"/>
          <w:u w:color="000000"/>
          <w:rtl w:val="0"/>
          <w:lang w:val="it-IT"/>
          <w14:textFill>
            <w14:solidFill>
              <w14:srgbClr w14:val="000000"/>
            </w14:solidFill>
          </w14:textFill>
        </w:rPr>
        <w:t>Criterion met</w:t>
      </w:r>
      <w:r>
        <w:rPr>
          <w:rStyle w:val="None"/>
          <w:b w:val="0"/>
          <w:bCs w:val="0"/>
          <w:outline w:val="0"/>
          <w:color w:val="000000"/>
          <w:sz w:val="24"/>
          <w:szCs w:val="24"/>
          <w:u w:color="000000"/>
          <w:rtl w:val="0"/>
          <w:lang w:val="en-US"/>
          <w14:textFill>
            <w14:solidFill>
              <w14:srgbClr w14:val="000000"/>
            </w14:solidFill>
          </w14:textFill>
        </w:rPr>
        <w:t xml:space="preserve"> (the effect estimate for each essential outcome has not converged).</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fr-FR"/>
          <w14:textFill>
            <w14:solidFill>
              <w14:srgbClr w14:val="000000"/>
            </w14:solidFill>
          </w14:textFill>
        </w:rPr>
        <w:t>Context</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The PICOT for the available evidence is: </w:t>
      </w:r>
    </w:p>
    <w:p>
      <w:pPr>
        <w:pStyle w:val="Body A"/>
        <w:numPr>
          <w:ilvl w:val="0"/>
          <w:numId w:val="4"/>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1"/>
          <w:bCs w:val="1"/>
          <w:outline w:val="0"/>
          <w:color w:val="000000"/>
          <w:sz w:val="24"/>
          <w:szCs w:val="24"/>
          <w:u w:color="000000"/>
          <w:rtl w:val="0"/>
          <w:lang w:val="en-US"/>
          <w14:textFill>
            <w14:solidFill>
              <w14:srgbClr w14:val="000000"/>
            </w14:solidFill>
          </w14:textFill>
        </w:rPr>
        <w:t>P</w:t>
      </w:r>
      <w:r>
        <w:rPr>
          <w:rStyle w:val="None"/>
          <w:b w:val="0"/>
          <w:bCs w:val="0"/>
          <w:outline w:val="0"/>
          <w:color w:val="000000"/>
          <w:sz w:val="24"/>
          <w:szCs w:val="24"/>
          <w:u w:color="000000"/>
          <w:rtl w:val="0"/>
          <w:lang w:val="en-US"/>
          <w14:textFill>
            <w14:solidFill>
              <w14:srgbClr w14:val="000000"/>
            </w14:solidFill>
          </w14:textFill>
        </w:rPr>
        <w:t xml:space="preserve"> – </w:t>
      </w:r>
      <w:r>
        <w:rPr>
          <w:rStyle w:val="None"/>
          <w:b w:val="0"/>
          <w:bCs w:val="0"/>
          <w:outline w:val="0"/>
          <w:color w:val="000000"/>
          <w:sz w:val="24"/>
          <w:szCs w:val="24"/>
          <w:u w:color="000000"/>
          <w:rtl w:val="0"/>
          <w:lang w:val="en-US"/>
          <w14:textFill>
            <w14:solidFill>
              <w14:srgbClr w14:val="000000"/>
            </w14:solidFill>
          </w14:textFill>
        </w:rPr>
        <w:t xml:space="preserve">Both </w:t>
      </w:r>
      <w:r>
        <w:rPr>
          <w:rStyle w:val="None"/>
          <w:b w:val="0"/>
          <w:bCs w:val="0"/>
          <w:outline w:val="0"/>
          <w:color w:val="000000"/>
          <w:sz w:val="24"/>
          <w:szCs w:val="24"/>
          <w:u w:color="000000"/>
          <w:rtl w:val="0"/>
          <w:lang w:val="en-US"/>
          <w14:textFill>
            <w14:solidFill>
              <w14:srgbClr w14:val="000000"/>
            </w14:solidFill>
          </w14:textFill>
        </w:rPr>
        <w:t>trials were done in the UK between 20</w:t>
      </w:r>
      <w:r>
        <w:rPr>
          <w:rStyle w:val="None"/>
          <w:b w:val="0"/>
          <w:bCs w:val="0"/>
          <w:outline w:val="0"/>
          <w:color w:val="000000"/>
          <w:sz w:val="24"/>
          <w:szCs w:val="24"/>
          <w:u w:color="000000"/>
          <w:rtl w:val="0"/>
          <w:lang w:val="en-US"/>
          <w14:textFill>
            <w14:solidFill>
              <w14:srgbClr w14:val="000000"/>
            </w14:solidFill>
          </w14:textFill>
        </w:rPr>
        <w:t>09</w:t>
      </w:r>
      <w:r>
        <w:rPr>
          <w:rStyle w:val="None"/>
          <w:b w:val="0"/>
          <w:bCs w:val="0"/>
          <w:outline w:val="0"/>
          <w:color w:val="000000"/>
          <w:sz w:val="24"/>
          <w:szCs w:val="24"/>
          <w:u w:color="000000"/>
          <w:rtl w:val="0"/>
          <w:lang w:val="en-US"/>
          <w14:textFill>
            <w14:solidFill>
              <w14:srgbClr w14:val="000000"/>
            </w14:solidFill>
          </w14:textFill>
        </w:rPr>
        <w:t xml:space="preserve"> and 20</w:t>
      </w:r>
      <w:r>
        <w:rPr>
          <w:rStyle w:val="None"/>
          <w:b w:val="0"/>
          <w:bCs w:val="0"/>
          <w:outline w:val="0"/>
          <w:color w:val="000000"/>
          <w:sz w:val="24"/>
          <w:szCs w:val="24"/>
          <w:u w:color="000000"/>
          <w:rtl w:val="0"/>
          <w:lang w:val="en-US"/>
          <w14:textFill>
            <w14:solidFill>
              <w14:srgbClr w14:val="000000"/>
            </w14:solidFill>
          </w14:textFill>
        </w:rPr>
        <w:t xml:space="preserve">11, </w:t>
      </w:r>
      <w:r>
        <w:rPr>
          <w:rStyle w:val="None"/>
          <w:b w:val="0"/>
          <w:bCs w:val="0"/>
          <w:outline w:val="0"/>
          <w:color w:val="000000"/>
          <w:sz w:val="24"/>
          <w:szCs w:val="24"/>
          <w:u w:color="000000"/>
          <w:rtl w:val="0"/>
          <w:lang w:val="en-US"/>
          <w14:textFill>
            <w14:solidFill>
              <w14:srgbClr w14:val="000000"/>
            </w14:solidFill>
          </w14:textFill>
        </w:rPr>
        <w:t xml:space="preserve">with a total of </w:t>
      </w:r>
      <w:r>
        <w:rPr>
          <w:rStyle w:val="None"/>
          <w:b w:val="0"/>
          <w:bCs w:val="0"/>
          <w:outline w:val="0"/>
          <w:color w:val="000000"/>
          <w:sz w:val="24"/>
          <w:szCs w:val="24"/>
          <w:u w:color="000000"/>
          <w:rtl w:val="0"/>
          <w:lang w:val="en-US"/>
          <w14:textFill>
            <w14:solidFill>
              <w14:srgbClr w14:val="000000"/>
            </w14:solidFill>
          </w14:textFill>
        </w:rPr>
        <w:t>4633</w:t>
      </w:r>
      <w:r>
        <w:rPr>
          <w:rStyle w:val="None"/>
          <w:b w:val="0"/>
          <w:bCs w:val="0"/>
          <w:outline w:val="0"/>
          <w:color w:val="000000"/>
          <w:sz w:val="24"/>
          <w:szCs w:val="24"/>
          <w:u w:color="000000"/>
          <w:rtl w:val="0"/>
          <w:lang w:val="en-US"/>
          <w14:textFill>
            <w14:solidFill>
              <w14:srgbClr w14:val="000000"/>
            </w14:solidFill>
          </w14:textFill>
        </w:rPr>
        <w:t xml:space="preserve"> participants.  </w:t>
      </w:r>
      <w:r>
        <w:rPr>
          <w:rStyle w:val="None"/>
          <w:b w:val="0"/>
          <w:bCs w:val="0"/>
          <w:outline w:val="0"/>
          <w:color w:val="000000"/>
          <w:sz w:val="24"/>
          <w:szCs w:val="24"/>
          <w:u w:color="000000"/>
          <w:rtl w:val="0"/>
          <w:lang w:val="en-US"/>
          <w14:textFill>
            <w14:solidFill>
              <w14:srgbClr w14:val="000000"/>
            </w14:solidFill>
          </w14:textFill>
        </w:rPr>
        <w:t>REEACT was a trial in adult participants aged 18 or older; the second trial was (probably, the publication is a conference abstract) for people with heart disease, probably in secondary care, it was not clear what the age range of participants was  but probably older people given the focus on heart disease.</w:t>
      </w:r>
      <w:r>
        <w:rPr>
          <w:rStyle w:val="None"/>
          <w:b w:val="0"/>
          <w:bCs w:val="0"/>
          <w:outline w:val="0"/>
          <w:color w:val="000000"/>
          <w:sz w:val="24"/>
          <w:szCs w:val="24"/>
          <w:u w:color="000000"/>
          <w:rtl w:val="0"/>
          <w:lang w:val="en-US"/>
          <w14:textFill>
            <w14:solidFill>
              <w14:srgbClr w14:val="000000"/>
            </w14:solidFill>
          </w14:textFill>
        </w:rPr>
        <w:t xml:space="preserve"> </w:t>
      </w:r>
    </w:p>
    <w:p>
      <w:pPr>
        <w:pStyle w:val="Body A"/>
        <w:numPr>
          <w:ilvl w:val="0"/>
          <w:numId w:val="4"/>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1"/>
          <w:bCs w:val="1"/>
          <w:outline w:val="0"/>
          <w:color w:val="000000"/>
          <w:sz w:val="24"/>
          <w:szCs w:val="24"/>
          <w:u w:color="000000"/>
          <w:rtl w:val="0"/>
          <w:lang w:val="en-US"/>
          <w14:textFill>
            <w14:solidFill>
              <w14:srgbClr w14:val="000000"/>
            </w14:solidFill>
          </w14:textFill>
        </w:rPr>
        <w:t>I</w:t>
      </w:r>
      <w:r>
        <w:rPr>
          <w:rStyle w:val="None"/>
          <w:b w:val="0"/>
          <w:bCs w:val="0"/>
          <w:outline w:val="0"/>
          <w:color w:val="000000"/>
          <w:sz w:val="24"/>
          <w:szCs w:val="24"/>
          <w:u w:color="000000"/>
          <w:rtl w:val="0"/>
          <w:lang w:val="en-US"/>
          <w14:textFill>
            <w14:solidFill>
              <w14:srgbClr w14:val="000000"/>
            </w14:solidFill>
          </w14:textFill>
        </w:rPr>
        <w:t xml:space="preserve"> – </w:t>
      </w:r>
      <w:r>
        <w:rPr>
          <w:rStyle w:val="None"/>
          <w:b w:val="0"/>
          <w:bCs w:val="0"/>
          <w:outline w:val="0"/>
          <w:color w:val="000000"/>
          <w:sz w:val="24"/>
          <w:szCs w:val="24"/>
          <w:u w:color="000000"/>
          <w:rtl w:val="0"/>
          <w:lang w:val="en-US"/>
          <w14:textFill>
            <w14:solidFill>
              <w14:srgbClr w14:val="000000"/>
            </w14:solidFill>
          </w14:textFill>
        </w:rPr>
        <w:t xml:space="preserve">The host trial intervention in </w:t>
      </w:r>
      <w:r>
        <w:rPr>
          <w:rStyle w:val="None"/>
          <w:b w:val="0"/>
          <w:bCs w:val="0"/>
          <w:outline w:val="0"/>
          <w:color w:val="000000"/>
          <w:sz w:val="24"/>
          <w:szCs w:val="24"/>
          <w:u w:color="000000"/>
          <w:rtl w:val="0"/>
          <w:lang w:val="en-US"/>
          <w14:textFill>
            <w14:solidFill>
              <w14:srgbClr w14:val="000000"/>
            </w14:solidFill>
          </w14:textFill>
        </w:rPr>
        <w:t xml:space="preserve">REEACT was </w:t>
      </w:r>
      <w:r>
        <w:rPr>
          <w:rStyle w:val="None"/>
          <w:b w:val="0"/>
          <w:bCs w:val="0"/>
          <w:outline w:val="0"/>
          <w:color w:val="000000"/>
          <w:sz w:val="24"/>
          <w:szCs w:val="24"/>
          <w:u w:color="000000"/>
          <w:rtl w:val="0"/>
          <w:lang w:val="en-US"/>
          <w14:textFill>
            <w14:solidFill>
              <w14:srgbClr w14:val="000000"/>
            </w14:solidFill>
          </w14:textFill>
        </w:rPr>
        <w:t>cognitive behavioural therapy in depression in primary care. The intervention in the second trial was almost certainly a drug (the study looked at recruitment to a trial run-in period).</w:t>
      </w:r>
    </w:p>
    <w:p>
      <w:pPr>
        <w:pStyle w:val="Body A"/>
        <w:numPr>
          <w:ilvl w:val="0"/>
          <w:numId w:val="4"/>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1"/>
          <w:bCs w:val="1"/>
          <w:outline w:val="0"/>
          <w:color w:val="000000"/>
          <w:sz w:val="24"/>
          <w:szCs w:val="24"/>
          <w:u w:color="000000"/>
          <w:rtl w:val="0"/>
          <w:lang w:val="en-US"/>
          <w14:textFill>
            <w14:solidFill>
              <w14:srgbClr w14:val="000000"/>
            </w14:solidFill>
          </w14:textFill>
        </w:rPr>
        <w:t>C</w:t>
      </w:r>
      <w:r>
        <w:rPr>
          <w:rStyle w:val="None"/>
          <w:b w:val="0"/>
          <w:bCs w:val="0"/>
          <w:outline w:val="0"/>
          <w:color w:val="000000"/>
          <w:sz w:val="24"/>
          <w:szCs w:val="24"/>
          <w:u w:color="000000"/>
          <w:rtl w:val="0"/>
          <w:lang w:val="en-US"/>
          <w14:textFill>
            <w14:solidFill>
              <w14:srgbClr w14:val="000000"/>
            </w14:solidFill>
          </w14:textFill>
        </w:rPr>
        <w:t xml:space="preserve"> - The host trial comparator in </w:t>
      </w:r>
      <w:r>
        <w:rPr>
          <w:rStyle w:val="None"/>
          <w:b w:val="0"/>
          <w:bCs w:val="0"/>
          <w:outline w:val="0"/>
          <w:color w:val="000000"/>
          <w:sz w:val="24"/>
          <w:szCs w:val="24"/>
          <w:u w:color="000000"/>
          <w:rtl w:val="0"/>
          <w:lang w:val="en-US"/>
          <w14:textFill>
            <w14:solidFill>
              <w14:srgbClr w14:val="000000"/>
            </w14:solidFill>
          </w14:textFill>
        </w:rPr>
        <w:t>REEACT was usual primary care. It is unclear what the second trial</w:t>
      </w:r>
      <w:r>
        <w:rPr>
          <w:rStyle w:val="None"/>
          <w:b w:val="0"/>
          <w:bCs w:val="0"/>
          <w:outline w:val="0"/>
          <w:color w:val="000000"/>
          <w:sz w:val="24"/>
          <w:szCs w:val="24"/>
          <w:u w:color="000000"/>
          <w:rtl w:val="0"/>
          <w:lang w:val="en-US"/>
          <w14:textFill>
            <w14:solidFill>
              <w14:srgbClr w14:val="000000"/>
            </w14:solidFill>
          </w14:textFill>
        </w:rPr>
        <w:t>’</w:t>
      </w:r>
      <w:r>
        <w:rPr>
          <w:rStyle w:val="None"/>
          <w:b w:val="0"/>
          <w:bCs w:val="0"/>
          <w:outline w:val="0"/>
          <w:color w:val="000000"/>
          <w:sz w:val="24"/>
          <w:szCs w:val="24"/>
          <w:u w:color="000000"/>
          <w:rtl w:val="0"/>
          <w:lang w:val="en-US"/>
          <w14:textFill>
            <w14:solidFill>
              <w14:srgbClr w14:val="000000"/>
            </w14:solidFill>
          </w14:textFill>
        </w:rPr>
        <w:t xml:space="preserve">s comparator was. </w:t>
      </w:r>
    </w:p>
    <w:p>
      <w:pPr>
        <w:pStyle w:val="Body A"/>
        <w:numPr>
          <w:ilvl w:val="0"/>
          <w:numId w:val="4"/>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1"/>
          <w:bCs w:val="1"/>
          <w:outline w:val="0"/>
          <w:color w:val="000000"/>
          <w:sz w:val="24"/>
          <w:szCs w:val="24"/>
          <w:u w:color="000000"/>
          <w:rtl w:val="0"/>
          <w:lang w:val="en-US"/>
          <w14:textFill>
            <w14:solidFill>
              <w14:srgbClr w14:val="000000"/>
            </w14:solidFill>
          </w14:textFill>
        </w:rPr>
        <w:t>O</w:t>
      </w:r>
      <w:r>
        <w:rPr>
          <w:rStyle w:val="None"/>
          <w:b w:val="0"/>
          <w:bCs w:val="0"/>
          <w:outline w:val="0"/>
          <w:color w:val="000000"/>
          <w:sz w:val="24"/>
          <w:szCs w:val="24"/>
          <w:u w:color="000000"/>
          <w:rtl w:val="0"/>
          <w:lang w:val="en-US"/>
          <w14:textFill>
            <w14:solidFill>
              <w14:srgbClr w14:val="000000"/>
            </w14:solidFill>
          </w14:textFill>
        </w:rPr>
        <w:t xml:space="preserve"> – </w:t>
      </w:r>
      <w:r>
        <w:rPr>
          <w:rStyle w:val="None"/>
          <w:b w:val="0"/>
          <w:bCs w:val="0"/>
          <w:outline w:val="0"/>
          <w:color w:val="000000"/>
          <w:sz w:val="24"/>
          <w:szCs w:val="24"/>
          <w:u w:color="000000"/>
          <w:rtl w:val="0"/>
          <w:lang w:val="en-US"/>
          <w14:textFill>
            <w14:solidFill>
              <w14:srgbClr w14:val="000000"/>
            </w14:solidFill>
          </w14:textFill>
        </w:rPr>
        <w:t xml:space="preserve">REEACT </w:t>
      </w:r>
      <w:r>
        <w:rPr>
          <w:rStyle w:val="None"/>
          <w:b w:val="0"/>
          <w:bCs w:val="0"/>
          <w:outline w:val="0"/>
          <w:color w:val="000000"/>
          <w:sz w:val="24"/>
          <w:szCs w:val="24"/>
          <w:u w:color="000000"/>
          <w:rtl w:val="0"/>
          <w:lang w:val="en-US"/>
          <w14:textFill>
            <w14:solidFill>
              <w14:srgbClr w14:val="000000"/>
            </w14:solidFill>
          </w14:textFill>
        </w:rPr>
        <w:t xml:space="preserve">measured </w:t>
      </w:r>
      <w:r>
        <w:rPr>
          <w:rStyle w:val="None"/>
          <w:b w:val="0"/>
          <w:bCs w:val="0"/>
          <w:outline w:val="0"/>
          <w:color w:val="000000"/>
          <w:sz w:val="24"/>
          <w:szCs w:val="24"/>
          <w:u w:color="000000"/>
          <w:rtl w:val="0"/>
          <w:lang w:val="en-US"/>
          <w14:textFill>
            <w14:solidFill>
              <w14:srgbClr w14:val="000000"/>
            </w14:solidFill>
          </w14:textFill>
        </w:rPr>
        <w:t>recruitment</w:t>
      </w:r>
      <w:r>
        <w:rPr>
          <w:rStyle w:val="None"/>
          <w:b w:val="0"/>
          <w:bCs w:val="0"/>
          <w:outline w:val="0"/>
          <w:color w:val="000000"/>
          <w:sz w:val="24"/>
          <w:szCs w:val="24"/>
          <w:u w:color="000000"/>
          <w:rtl w:val="0"/>
          <w:lang w:val="en-US"/>
          <w14:textFill>
            <w14:solidFill>
              <w14:srgbClr w14:val="000000"/>
            </w14:solidFill>
          </w14:textFill>
        </w:rPr>
        <w:t xml:space="preserve"> to the host trial.  </w:t>
      </w:r>
      <w:r>
        <w:rPr>
          <w:rStyle w:val="None"/>
          <w:b w:val="0"/>
          <w:bCs w:val="0"/>
          <w:outline w:val="0"/>
          <w:color w:val="000000"/>
          <w:sz w:val="24"/>
          <w:szCs w:val="24"/>
          <w:u w:color="000000"/>
          <w:rtl w:val="0"/>
          <w:lang w:val="en-US"/>
          <w14:textFill>
            <w14:solidFill>
              <w14:srgbClr w14:val="000000"/>
            </w14:solidFill>
          </w14:textFill>
        </w:rPr>
        <w:t xml:space="preserve">The second trial measured recruitment to the run-in period rather than to the trial itself.  </w:t>
      </w:r>
      <w:r>
        <w:rPr>
          <w:rStyle w:val="None"/>
          <w:b w:val="0"/>
          <w:bCs w:val="0"/>
          <w:outline w:val="0"/>
          <w:color w:val="000000"/>
          <w:sz w:val="24"/>
          <w:szCs w:val="24"/>
          <w:u w:color="000000"/>
          <w:rtl w:val="0"/>
          <w:lang w:val="en-US"/>
          <w14:textFill>
            <w14:solidFill>
              <w14:srgbClr w14:val="000000"/>
            </w14:solidFill>
          </w14:textFill>
        </w:rPr>
        <w:t xml:space="preserve">Underlying </w:t>
      </w:r>
      <w:r>
        <w:rPr>
          <w:rStyle w:val="None"/>
          <w:b w:val="0"/>
          <w:bCs w:val="0"/>
          <w:outline w:val="0"/>
          <w:color w:val="000000"/>
          <w:sz w:val="24"/>
          <w:szCs w:val="24"/>
          <w:u w:color="000000"/>
          <w:rtl w:val="0"/>
          <w:lang w:val="en-US"/>
          <w14:textFill>
            <w14:solidFill>
              <w14:srgbClr w14:val="000000"/>
            </w14:solidFill>
          </w14:textFill>
        </w:rPr>
        <w:t>(comparison group) recruitment</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was</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5.1% in REEACT and 8.2% in the second trial.  In other words, underlying recruitment was low in both trials.</w:t>
      </w:r>
    </w:p>
    <w:p>
      <w:pPr>
        <w:pStyle w:val="Body A"/>
        <w:numPr>
          <w:ilvl w:val="0"/>
          <w:numId w:val="4"/>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1"/>
          <w:bCs w:val="1"/>
          <w:outline w:val="0"/>
          <w:color w:val="000000"/>
          <w:sz w:val="24"/>
          <w:szCs w:val="24"/>
          <w:u w:color="000000"/>
          <w:rtl w:val="0"/>
          <w:lang w:val="en-US"/>
          <w14:textFill>
            <w14:solidFill>
              <w14:srgbClr w14:val="000000"/>
            </w14:solidFill>
          </w14:textFill>
        </w:rPr>
        <w:t>T</w:t>
      </w:r>
      <w:r>
        <w:rPr>
          <w:rStyle w:val="None"/>
          <w:b w:val="0"/>
          <w:bCs w:val="0"/>
          <w:outline w:val="0"/>
          <w:color w:val="000000"/>
          <w:sz w:val="24"/>
          <w:szCs w:val="24"/>
          <w:u w:color="000000"/>
          <w:rtl w:val="0"/>
          <w:lang w:val="en-US"/>
          <w14:textFill>
            <w14:solidFill>
              <w14:srgbClr w14:val="000000"/>
            </w14:solidFill>
          </w14:textFill>
        </w:rPr>
        <w:t xml:space="preserve"> – </w:t>
      </w:r>
      <w:r>
        <w:rPr>
          <w:rStyle w:val="None"/>
          <w:b w:val="0"/>
          <w:bCs w:val="0"/>
          <w:outline w:val="0"/>
          <w:color w:val="000000"/>
          <w:sz w:val="24"/>
          <w:szCs w:val="24"/>
          <w:u w:color="000000"/>
          <w:rtl w:val="0"/>
          <w:lang w:val="en-US"/>
          <w14:textFill>
            <w14:solidFill>
              <w14:srgbClr w14:val="000000"/>
            </w14:solidFill>
          </w14:textFill>
        </w:rPr>
        <w:t>Both trials are old and it is unclear whether participants</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reactions to short PILs is the same now as it was around 2010. </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 xml:space="preserve">Considering the above, leads to </w:t>
      </w:r>
      <w:r>
        <w:rPr>
          <w:rStyle w:val="None"/>
          <w:rFonts w:ascii="Open Sans Semibold" w:hAnsi="Open Sans Semibold"/>
          <w:b w:val="0"/>
          <w:bCs w:val="0"/>
          <w:i w:val="1"/>
          <w:iCs w:val="1"/>
          <w:outline w:val="0"/>
          <w:color w:val="000000"/>
          <w:sz w:val="24"/>
          <w:szCs w:val="24"/>
          <w:u w:color="000000"/>
          <w:rtl w:val="0"/>
          <w:lang w:val="en-US"/>
          <w14:textFill>
            <w14:solidFill>
              <w14:srgbClr w14:val="000000"/>
            </w14:solidFill>
          </w14:textFill>
        </w:rPr>
        <w:t>Criterion met</w:t>
      </w:r>
      <w:r>
        <w:rPr>
          <w:rStyle w:val="None"/>
          <w:b w:val="0"/>
          <w:bCs w:val="0"/>
          <w:outline w:val="0"/>
          <w:color w:val="000000"/>
          <w:sz w:val="24"/>
          <w:szCs w:val="24"/>
          <w:u w:color="000000"/>
          <w:rtl w:val="0"/>
          <w:lang w:val="en-US"/>
          <w14:textFill>
            <w14:solidFill>
              <w14:srgbClr w14:val="000000"/>
            </w14:solidFill>
          </w14:textFill>
        </w:rPr>
        <w:t xml:space="preserve">  (a new evaluation is likely to contain several elements in the PICOT that are importantly different to those in the</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existing evaluations).</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fr-FR"/>
          <w14:textFill>
            <w14:solidFill>
              <w14:srgbClr w14:val="000000"/>
            </w14:solidFill>
          </w14:textFill>
        </w:rPr>
        <w:t>Balance</w:t>
      </w:r>
      <w:r>
        <w:rPr>
          <w:rStyle w:val="None"/>
          <w:outline w:val="0"/>
          <w:color w:val="000000"/>
          <w:sz w:val="24"/>
          <w:szCs w:val="24"/>
          <w:u w:color="000000"/>
          <w:rtl w:val="0"/>
          <w:lang w:val="en-US"/>
          <w14:textFill>
            <w14:solidFill>
              <w14:srgbClr w14:val="000000"/>
            </w14:solidFill>
          </w14:textFill>
        </w:rPr>
        <w:t xml:space="preserve">– </w:t>
      </w:r>
      <w:r>
        <w:rPr>
          <w:rStyle w:val="None"/>
          <w:outline w:val="0"/>
          <w:color w:val="000000"/>
          <w:sz w:val="24"/>
          <w:szCs w:val="24"/>
          <w:u w:color="000000"/>
          <w:rtl w:val="0"/>
          <w:lang w:val="fr-FR"/>
          <w14:textFill>
            <w14:solidFill>
              <w14:srgbClr w14:val="000000"/>
            </w14:solidFill>
          </w14:textFill>
        </w:rPr>
        <w:t>participants</w:t>
      </w:r>
      <w:r>
        <w:rPr>
          <w:rStyle w:val="None"/>
          <w:outline w:val="0"/>
          <w:color w:val="000000"/>
          <w:sz w:val="24"/>
          <w:szCs w:val="24"/>
          <w:u w:color="000000"/>
          <w:rtl w:val="0"/>
          <w:lang w:val="en-US"/>
          <w14:textFill>
            <w14:solidFill>
              <w14:srgbClr w14:val="000000"/>
            </w14:solidFill>
          </w14:textFill>
        </w:rPr>
        <w:t>–</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The benefit to </w:t>
      </w:r>
      <w:r>
        <w:rPr>
          <w:rStyle w:val="None"/>
          <w:b w:val="0"/>
          <w:bCs w:val="0"/>
          <w:outline w:val="0"/>
          <w:color w:val="000000"/>
          <w:sz w:val="24"/>
          <w:szCs w:val="24"/>
          <w:u w:color="000000"/>
          <w:rtl w:val="0"/>
          <w:lang w:val="en-US"/>
          <w14:textFill>
            <w14:solidFill>
              <w14:srgbClr w14:val="000000"/>
            </w14:solidFill>
          </w14:textFill>
        </w:rPr>
        <w:t>participant</w:t>
      </w:r>
      <w:r>
        <w:rPr>
          <w:rStyle w:val="None"/>
          <w:b w:val="0"/>
          <w:bCs w:val="0"/>
          <w:outline w:val="0"/>
          <w:color w:val="000000"/>
          <w:sz w:val="24"/>
          <w:szCs w:val="24"/>
          <w:u w:color="000000"/>
          <w:rtl w:val="0"/>
          <w:lang w:val="en-US"/>
          <w14:textFill>
            <w14:solidFill>
              <w14:srgbClr w14:val="000000"/>
            </w14:solidFill>
          </w14:textFill>
        </w:rPr>
        <w:t>s</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randomised to received the short PIL may have better understanding of the trial because they read the information they were given rather than were overwhelmed by it but this is speculative.  This benefit is uncertain.  A </w:t>
      </w:r>
      <w:r>
        <w:rPr>
          <w:rStyle w:val="None"/>
          <w:b w:val="0"/>
          <w:bCs w:val="0"/>
          <w:outline w:val="0"/>
          <w:color w:val="000000"/>
          <w:sz w:val="24"/>
          <w:szCs w:val="24"/>
          <w:u w:color="000000"/>
          <w:rtl w:val="0"/>
          <w:lang w:val="en-US"/>
          <w14:textFill>
            <w14:solidFill>
              <w14:srgbClr w14:val="000000"/>
            </w14:solidFill>
          </w14:textFill>
        </w:rPr>
        <w:t xml:space="preserve">participant may potentially be annoyed </w:t>
      </w:r>
      <w:r>
        <w:rPr>
          <w:rStyle w:val="None"/>
          <w:b w:val="0"/>
          <w:bCs w:val="0"/>
          <w:outline w:val="0"/>
          <w:color w:val="000000"/>
          <w:sz w:val="24"/>
          <w:szCs w:val="24"/>
          <w:u w:color="000000"/>
          <w:rtl w:val="0"/>
          <w:lang w:val="en-US"/>
          <w14:textFill>
            <w14:solidFill>
              <w14:srgbClr w14:val="000000"/>
            </w14:solidFill>
          </w14:textFill>
        </w:rPr>
        <w:t xml:space="preserve">by only receiving a short leaflet although the full leaflet is often also available.  </w:t>
      </w:r>
      <w:r>
        <w:rPr>
          <w:rStyle w:val="None"/>
          <w:b w:val="0"/>
          <w:bCs w:val="0"/>
          <w:outline w:val="0"/>
          <w:color w:val="000000"/>
          <w:sz w:val="24"/>
          <w:szCs w:val="24"/>
          <w:u w:color="000000"/>
          <w:rtl w:val="0"/>
          <w:lang w:val="en-US"/>
          <w14:textFill>
            <w14:solidFill>
              <w14:srgbClr w14:val="000000"/>
            </w14:solidFill>
          </w14:textFill>
        </w:rPr>
        <w:t xml:space="preserve">No evidence was presented from the trials though so how potential participants feels about short PILs is unclear. </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rFonts w:ascii="Open Sans Semibold" w:hAnsi="Open Sans Semibold"/>
          <w:b w:val="0"/>
          <w:bCs w:val="0"/>
          <w:i w:val="1"/>
          <w:iCs w:val="1"/>
          <w:outline w:val="0"/>
          <w:color w:val="000000"/>
          <w:sz w:val="24"/>
          <w:szCs w:val="24"/>
          <w:u w:color="000000"/>
          <w:rtl w:val="0"/>
          <w:lang w:val="it-IT"/>
          <w14:textFill>
            <w14:solidFill>
              <w14:srgbClr w14:val="000000"/>
            </w14:solidFill>
          </w14:textFill>
        </w:rPr>
        <w:t xml:space="preserve">Criterion </w:t>
      </w:r>
      <w:r>
        <w:rPr>
          <w:rStyle w:val="None"/>
          <w:rFonts w:ascii="Open Sans Semibold" w:hAnsi="Open Sans Semibold"/>
          <w:b w:val="0"/>
          <w:bCs w:val="0"/>
          <w:i w:val="1"/>
          <w:iCs w:val="1"/>
          <w:outline w:val="0"/>
          <w:color w:val="000000"/>
          <w:sz w:val="24"/>
          <w:szCs w:val="24"/>
          <w:u w:color="000000"/>
          <w:rtl w:val="0"/>
          <w:lang w:val="nl-NL"/>
          <w14:textFill>
            <w14:solidFill>
              <w14:srgbClr w14:val="000000"/>
            </w14:solidFill>
          </w14:textFill>
        </w:rPr>
        <w:t>met</w:t>
      </w:r>
      <w:r>
        <w:rPr>
          <w:rStyle w:val="None"/>
          <w:b w:val="0"/>
          <w:bCs w:val="0"/>
          <w:outline w:val="0"/>
          <w:color w:val="000000"/>
          <w:sz w:val="24"/>
          <w:szCs w:val="24"/>
          <w:u w:color="000000"/>
          <w:rtl w:val="0"/>
          <w:lang w:val="en-US"/>
          <w14:textFill>
            <w14:solidFill>
              <w14:srgbClr w14:val="000000"/>
            </w14:solidFill>
          </w14:textFill>
        </w:rPr>
        <w:t xml:space="preserve"> (the balance of benefit and disadvantage to participants in the new host trial and/or SWAT is </w:t>
      </w:r>
      <w:r>
        <w:rPr>
          <w:rStyle w:val="None"/>
          <w:b w:val="0"/>
          <w:bCs w:val="0"/>
          <w:outline w:val="0"/>
          <w:color w:val="000000"/>
          <w:sz w:val="24"/>
          <w:szCs w:val="24"/>
          <w:u w:color="000000"/>
          <w:rtl w:val="0"/>
          <w:lang w:val="en-US"/>
          <w14:textFill>
            <w14:solidFill>
              <w14:srgbClr w14:val="000000"/>
            </w14:solidFill>
          </w14:textFill>
        </w:rPr>
        <w:t xml:space="preserve">not </w:t>
      </w:r>
      <w:r>
        <w:rPr>
          <w:rStyle w:val="None"/>
          <w:b w:val="0"/>
          <w:bCs w:val="0"/>
          <w:outline w:val="0"/>
          <w:color w:val="000000"/>
          <w:sz w:val="24"/>
          <w:szCs w:val="24"/>
          <w:u w:color="000000"/>
          <w:rtl w:val="0"/>
          <w:lang w:val="en-US"/>
          <w14:textFill>
            <w14:solidFill>
              <w14:srgbClr w14:val="000000"/>
            </w14:solidFill>
          </w14:textFill>
        </w:rPr>
        <w:t>clear).</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fr-FR"/>
          <w14:textFill>
            <w14:solidFill>
              <w14:srgbClr w14:val="000000"/>
            </w14:solidFill>
          </w14:textFill>
        </w:rPr>
        <w:t>Balance</w:t>
      </w:r>
      <w:r>
        <w:rPr>
          <w:rStyle w:val="None"/>
          <w:outline w:val="0"/>
          <w:color w:val="000000"/>
          <w:sz w:val="24"/>
          <w:szCs w:val="24"/>
          <w:u w:color="000000"/>
          <w:rtl w:val="0"/>
          <w:lang w:val="en-US"/>
          <w14:textFill>
            <w14:solidFill>
              <w14:srgbClr w14:val="000000"/>
            </w14:solidFill>
          </w14:textFill>
        </w:rPr>
        <w:t xml:space="preserve">– </w:t>
      </w:r>
      <w:r>
        <w:rPr>
          <w:rStyle w:val="None"/>
          <w:outline w:val="0"/>
          <w:color w:val="000000"/>
          <w:sz w:val="24"/>
          <w:szCs w:val="24"/>
          <w:u w:color="000000"/>
          <w:rtl w:val="0"/>
          <w:lang w:val="en-US"/>
          <w14:textFill>
            <w14:solidFill>
              <w14:srgbClr w14:val="000000"/>
            </w14:solidFill>
          </w14:textFill>
        </w:rPr>
        <w:t>host trial</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The benefit to the host trial </w:t>
      </w:r>
      <w:r>
        <w:rPr>
          <w:rStyle w:val="None"/>
          <w:b w:val="0"/>
          <w:bCs w:val="0"/>
          <w:outline w:val="0"/>
          <w:color w:val="000000"/>
          <w:sz w:val="24"/>
          <w:szCs w:val="24"/>
          <w:u w:color="000000"/>
          <w:rtl w:val="0"/>
          <w:lang w:val="en-US"/>
          <w14:textFill>
            <w14:solidFill>
              <w14:srgbClr w14:val="000000"/>
            </w14:solidFill>
          </w14:textFill>
        </w:rPr>
        <w:t>at present is the potential for a very small</w:t>
      </w:r>
      <w:r>
        <w:rPr>
          <w:rStyle w:val="None"/>
          <w:b w:val="0"/>
          <w:bCs w:val="0"/>
          <w:outline w:val="0"/>
          <w:color w:val="000000"/>
          <w:sz w:val="24"/>
          <w:szCs w:val="24"/>
          <w:u w:color="000000"/>
          <w:rtl w:val="0"/>
          <w:lang w:val="en-US"/>
          <w14:textFill>
            <w14:solidFill>
              <w14:srgbClr w14:val="000000"/>
            </w14:solidFill>
          </w14:textFill>
        </w:rPr>
        <w:t xml:space="preserve"> increase in </w:t>
      </w:r>
      <w:r>
        <w:rPr>
          <w:rStyle w:val="None"/>
          <w:b w:val="0"/>
          <w:bCs w:val="0"/>
          <w:outline w:val="0"/>
          <w:color w:val="000000"/>
          <w:sz w:val="24"/>
          <w:szCs w:val="24"/>
          <w:u w:color="000000"/>
          <w:rtl w:val="0"/>
          <w:lang w:val="en-US"/>
          <w14:textFill>
            <w14:solidFill>
              <w14:srgbClr w14:val="000000"/>
            </w14:solidFill>
          </w14:textFill>
        </w:rPr>
        <w:t>recruitment</w:t>
      </w:r>
      <w:r>
        <w:rPr>
          <w:rStyle w:val="None"/>
          <w:b w:val="0"/>
          <w:bCs w:val="0"/>
          <w:outline w:val="0"/>
          <w:color w:val="000000"/>
          <w:sz w:val="24"/>
          <w:szCs w:val="24"/>
          <w:u w:color="000000"/>
          <w:rtl w:val="0"/>
          <w:lang w:val="en-US"/>
          <w14:textFill>
            <w14:solidFill>
              <w14:srgbClr w14:val="000000"/>
            </w14:solidFill>
          </w14:textFill>
        </w:rPr>
        <w:t xml:space="preserve">.  The potential disadvantage to the host trial is the cost of </w:t>
      </w:r>
      <w:r>
        <w:rPr>
          <w:rStyle w:val="None"/>
          <w:b w:val="0"/>
          <w:bCs w:val="0"/>
          <w:outline w:val="0"/>
          <w:color w:val="000000"/>
          <w:sz w:val="24"/>
          <w:szCs w:val="24"/>
          <w:u w:color="000000"/>
          <w:rtl w:val="0"/>
          <w:lang w:val="en-US"/>
          <w14:textFill>
            <w14:solidFill>
              <w14:srgbClr w14:val="000000"/>
            </w14:solidFill>
          </w14:textFill>
        </w:rPr>
        <w:t>paying and managing multiple versions of the PIL</w:t>
      </w:r>
      <w:r>
        <w:rPr>
          <w:rStyle w:val="None"/>
          <w:b w:val="0"/>
          <w:bCs w:val="0"/>
          <w:outline w:val="0"/>
          <w:color w:val="000000"/>
          <w:sz w:val="24"/>
          <w:szCs w:val="24"/>
          <w:u w:color="000000"/>
          <w:rtl w:val="0"/>
          <w:lang w:val="en-US"/>
          <w14:textFill>
            <w14:solidFill>
              <w14:srgbClr w14:val="000000"/>
            </w14:solidFill>
          </w14:textFill>
        </w:rPr>
        <w:t>.  This i</w:t>
      </w:r>
      <w:r>
        <w:rPr>
          <w:rStyle w:val="None"/>
          <w:b w:val="0"/>
          <w:bCs w:val="0"/>
          <w:outline w:val="0"/>
          <w:color w:val="000000"/>
          <w:sz w:val="24"/>
          <w:szCs w:val="24"/>
          <w:u w:color="000000"/>
          <w:rtl w:val="0"/>
          <w:lang w:val="en-US"/>
          <w14:textFill>
            <w14:solidFill>
              <w14:srgbClr w14:val="000000"/>
            </w14:solidFill>
          </w14:textFill>
        </w:rPr>
        <w:t>s trial dependent but ought not to be difficult to estimate</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rFonts w:ascii="Open Sans Semibold" w:hAnsi="Open Sans Semibold"/>
          <w:b w:val="0"/>
          <w:bCs w:val="0"/>
          <w:i w:val="1"/>
          <w:iCs w:val="1"/>
          <w:outline w:val="0"/>
          <w:color w:val="000000"/>
          <w:sz w:val="24"/>
          <w:szCs w:val="24"/>
          <w:u w:color="000000"/>
          <w:rtl w:val="0"/>
          <w:lang w:val="en-US"/>
          <w14:textFill>
            <w14:solidFill>
              <w14:srgbClr w14:val="000000"/>
            </w14:solidFill>
          </w14:textFill>
        </w:rPr>
        <w:t>Criterion not met</w:t>
      </w:r>
      <w:r>
        <w:rPr>
          <w:rStyle w:val="None"/>
          <w:b w:val="0"/>
          <w:bCs w:val="0"/>
          <w:outline w:val="0"/>
          <w:color w:val="000000"/>
          <w:sz w:val="24"/>
          <w:szCs w:val="24"/>
          <w:u w:color="000000"/>
          <w:rtl w:val="0"/>
          <w:lang w:val="en-US"/>
          <w14:textFill>
            <w14:solidFill>
              <w14:srgbClr w14:val="000000"/>
            </w14:solidFill>
          </w14:textFill>
        </w:rPr>
        <w:t xml:space="preserve"> (the balance of benefit and disadvantage to those running the host trial is clear).</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 xml:space="preserve">Considering the responses across all five criteria leads us to conclude that further evaluation </w:t>
      </w:r>
      <w:r>
        <w:rPr>
          <w:rStyle w:val="None"/>
          <w:b w:val="0"/>
          <w:bCs w:val="0"/>
          <w:outline w:val="0"/>
          <w:color w:val="000000"/>
          <w:sz w:val="24"/>
          <w:szCs w:val="24"/>
          <w:u w:color="000000"/>
          <w:rtl w:val="0"/>
          <w:lang w:val="en-US"/>
          <w14:textFill>
            <w14:solidFill>
              <w14:srgbClr w14:val="000000"/>
            </w14:solidFill>
          </w14:textFill>
        </w:rPr>
        <w:t>of brief PILs</w:t>
      </w:r>
      <w:r>
        <w:rPr>
          <w:rStyle w:val="None"/>
          <w:b w:val="0"/>
          <w:bCs w:val="0"/>
          <w:outline w:val="0"/>
          <w:color w:val="000000"/>
          <w:sz w:val="24"/>
          <w:szCs w:val="24"/>
          <w:u w:color="000000"/>
          <w:rtl w:val="0"/>
          <w:lang w:val="en-US"/>
          <w14:textFill>
            <w14:solidFill>
              <w14:srgbClr w14:val="000000"/>
            </w14:solidFill>
          </w14:textFill>
        </w:rPr>
        <w:t xml:space="preserve"> is needed.  Priority should be given to evaluation in trials that:</w:t>
      </w:r>
    </w:p>
    <w:p>
      <w:pPr>
        <w:pStyle w:val="Body A"/>
        <w:suppressAutoHyphens w:val="1"/>
        <w:bidi w:val="0"/>
        <w:spacing w:line="240" w:lineRule="auto"/>
        <w:ind w:left="0" w:right="0" w:firstLine="0"/>
        <w:jc w:val="left"/>
        <w:rPr>
          <w:rStyle w:val="None"/>
          <w:b w:val="0"/>
          <w:bCs w:val="0"/>
          <w:outline w:val="0"/>
          <w:color w:val="000000"/>
          <w:sz w:val="24"/>
          <w:szCs w:val="24"/>
          <w:u w:color="000000"/>
          <w:rtl w:val="0"/>
          <w14:textFill>
            <w14:solidFill>
              <w14:srgbClr w14:val="000000"/>
            </w14:solidFill>
          </w14:textFill>
        </w:rPr>
      </w:pPr>
    </w:p>
    <w:p>
      <w:pPr>
        <w:pStyle w:val="Body A"/>
        <w:numPr>
          <w:ilvl w:val="0"/>
          <w:numId w:val="5"/>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Evaluation in any host trial would be worthwhile.</w:t>
      </w:r>
    </w:p>
    <w:p>
      <w:pPr>
        <w:pStyle w:val="Body A"/>
        <w:suppressAutoHyphens w:val="1"/>
        <w:bidi w:val="0"/>
        <w:spacing w:line="240" w:lineRule="auto"/>
        <w:ind w:left="0" w:right="0" w:firstLine="0"/>
        <w:jc w:val="left"/>
        <w:rPr>
          <w:rStyle w:val="None"/>
          <w:b w:val="0"/>
          <w:bCs w:val="0"/>
          <w:outline w:val="0"/>
          <w:color w:val="000000"/>
          <w:sz w:val="24"/>
          <w:szCs w:val="24"/>
          <w:u w:color="000000"/>
          <w:rtl w:val="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 xml:space="preserve">Additionally, collecting cost </w:t>
      </w:r>
      <w:r>
        <w:rPr>
          <w:rStyle w:val="None"/>
          <w:b w:val="0"/>
          <w:bCs w:val="0"/>
          <w:outline w:val="0"/>
          <w:color w:val="000000"/>
          <w:sz w:val="24"/>
          <w:szCs w:val="24"/>
          <w:u w:color="000000"/>
          <w:rtl w:val="0"/>
          <w:lang w:val="en-US"/>
          <w14:textFill>
            <w14:solidFill>
              <w14:srgbClr w14:val="000000"/>
            </w14:solidFill>
          </w14:textFill>
        </w:rPr>
        <w:t xml:space="preserve">(time and money) </w:t>
      </w:r>
      <w:r>
        <w:rPr>
          <w:rStyle w:val="None"/>
          <w:b w:val="0"/>
          <w:bCs w:val="0"/>
          <w:outline w:val="0"/>
          <w:color w:val="000000"/>
          <w:sz w:val="24"/>
          <w:szCs w:val="24"/>
          <w:u w:color="000000"/>
          <w:rtl w:val="0"/>
          <w:lang w:val="en-US"/>
          <w14:textFill>
            <w14:solidFill>
              <w14:srgbClr w14:val="000000"/>
            </w14:solidFill>
          </w14:textFill>
        </w:rPr>
        <w:t xml:space="preserve">information would be useful, as would </w:t>
      </w:r>
      <w:r>
        <w:rPr>
          <w:rStyle w:val="None"/>
          <w:b w:val="0"/>
          <w:bCs w:val="0"/>
          <w:outline w:val="0"/>
          <w:color w:val="000000"/>
          <w:sz w:val="24"/>
          <w:szCs w:val="24"/>
          <w:u w:color="000000"/>
          <w:rtl w:val="0"/>
          <w:lang w:val="en-US"/>
          <w14:textFill>
            <w14:solidFill>
              <w14:srgbClr w14:val="000000"/>
            </w14:solidFill>
          </w14:textFill>
        </w:rPr>
        <w:t>carbon costs</w:t>
      </w:r>
      <w:r>
        <w:rPr>
          <w:rStyle w:val="None"/>
          <w:b w:val="0"/>
          <w:bCs w:val="0"/>
          <w:outline w:val="0"/>
          <w:color w:val="000000"/>
          <w:sz w:val="24"/>
          <w:szCs w:val="24"/>
          <w:u w:color="000000"/>
          <w:rtl w:val="0"/>
          <w:lang w:val="en-US"/>
          <w14:textFill>
            <w14:solidFill>
              <w14:srgbClr w14:val="000000"/>
            </w14:solidFill>
          </w14:textFill>
        </w:rPr>
        <w:t>.</w:t>
      </w:r>
      <w:r>
        <w:rPr>
          <w:rStyle w:val="None"/>
          <w:b w:val="0"/>
          <w:bCs w:val="0"/>
          <w:outline w:val="0"/>
          <w:color w:val="000000"/>
          <w:sz w:val="24"/>
          <w:szCs w:val="24"/>
          <w:u w:color="000000"/>
          <w:rtl w:val="0"/>
          <w:lang w:val="en-US"/>
          <w14:textFill>
            <w14:solidFill>
              <w14:srgbClr w14:val="000000"/>
            </w14:solidFill>
          </w14:textFill>
        </w:rPr>
        <w:t xml:space="preserve"> Brief PILs may not primarily affect recruitment, for example they may be more likely to affect understanding and retention, or perhaps widen inclusion in the trial to a more diverse population. Expanding evaluation to investigate some of these other areas is worth considering. </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en-US"/>
          <w14:textFill>
            <w14:solidFill>
              <w14:srgbClr w14:val="000000"/>
            </w14:solidFill>
          </w14:textFill>
        </w:rPr>
        <w:t>Who made these judgements?</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Shaun Treweek, Hanne Bruhn and Heidi Gardner, all based at the University of Aberdeen, UK.</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suppressAutoHyphens w:val="1"/>
        <w:rPr>
          <w:rStyle w:val="None"/>
          <w:rFonts w:ascii="Open Sans" w:cs="Open Sans" w:hAnsi="Open Sans" w:eastAsia="Open Sans"/>
          <w:b w:val="1"/>
          <w:bCs w:val="1"/>
          <w:outline w:val="0"/>
          <w:color w:val="000000"/>
          <w:sz w:val="22"/>
          <w:szCs w:val="22"/>
          <w:u w:color="000000"/>
          <w:lang w:val="en-US"/>
          <w14:textOutline>
            <w14:noFill/>
          </w14:textOutline>
          <w14:textFill>
            <w14:solidFill>
              <w14:srgbClr w14:val="000000"/>
            </w14:solidFill>
          </w14:textFill>
        </w:rPr>
      </w:pPr>
      <w:r>
        <w:rPr>
          <w:rStyle w:val="None"/>
          <w:rFonts w:ascii="Open Sans" w:hAnsi="Open Sans"/>
          <w:b w:val="1"/>
          <w:bCs w:val="1"/>
          <w:outline w:val="0"/>
          <w:color w:val="000000"/>
          <w:sz w:val="22"/>
          <w:szCs w:val="22"/>
          <w:u w:color="000000"/>
          <w:rtl w:val="0"/>
          <w:lang w:val="en-US"/>
          <w14:textOutline>
            <w14:noFill/>
          </w14:textOutline>
          <w14:textFill>
            <w14:solidFill>
              <w14:srgbClr w14:val="000000"/>
            </w14:solidFill>
          </w14:textFill>
        </w:rPr>
        <w:t>References</w:t>
      </w:r>
    </w:p>
    <w:p>
      <w:pPr>
        <w:pStyle w:val="Body A"/>
        <w:numPr>
          <w:ilvl w:val="0"/>
          <w:numId w:val="6"/>
        </w:numPr>
        <w:suppressAutoHyphens w:val="1"/>
        <w:bidi w:val="0"/>
        <w:ind w:right="0"/>
        <w:jc w:val="left"/>
        <w:rPr>
          <w:b w:val="0"/>
          <w:bCs w:val="0"/>
          <w:outline w:val="0"/>
          <w:color w:val="000000"/>
          <w:sz w:val="18"/>
          <w:szCs w:val="18"/>
          <w:u w:color="000000"/>
          <w:rtl w:val="0"/>
          <w:lang w:val="en-US"/>
          <w14:textOutline>
            <w14:noFill/>
          </w14:textOutline>
          <w14:textFill>
            <w14:solidFill>
              <w14:srgbClr w14:val="000000"/>
            </w14:solidFill>
          </w14:textFill>
        </w:rPr>
      </w:pPr>
      <w:r>
        <w:rPr>
          <w:rStyle w:val="None"/>
          <w:b w:val="0"/>
          <w:bCs w:val="0"/>
          <w:outline w:val="0"/>
          <w:color w:val="000000"/>
          <w:sz w:val="18"/>
          <w:szCs w:val="18"/>
          <w:u w:color="000000"/>
          <w:rtl w:val="0"/>
          <w:lang w:val="en-US"/>
          <w14:textOutline>
            <w14:noFill/>
          </w14:textOutline>
          <w14:textFill>
            <w14:solidFill>
              <w14:srgbClr w14:val="000000"/>
            </w14:solidFill>
          </w14:textFill>
        </w:rPr>
        <w:t>Treweek</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S, Pitkethly</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M, Cook</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J, Fraser</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C, Mitchell</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E, Sullivan</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F, Jackson</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C, Taskila</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TK, Gardner</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H. Strategies to improve recruitment to randomised trials. Cochrane Database of Systematic Reviews 2018, Issue 2. Art. No.: MR000013. DOI: 10.1002/14651858.MR000013.pub6.</w:t>
      </w:r>
    </w:p>
    <w:p>
      <w:pPr>
        <w:pStyle w:val="Body A"/>
        <w:suppressAutoHyphens w:val="1"/>
        <w:spacing w:line="240" w:lineRule="auto"/>
      </w:pPr>
      <w:r>
        <w:rPr>
          <w:rStyle w:val="None"/>
          <w:rFonts w:ascii="Arial Unicode MS" w:cs="Arial Unicode MS" w:hAnsi="Arial Unicode MS" w:eastAsia="Arial Unicode MS"/>
          <w:b w:val="0"/>
          <w:bCs w:val="0"/>
          <w:i w:val="0"/>
          <w:iCs w:val="0"/>
          <w:outline w:val="0"/>
          <w:color w:val="000000"/>
          <w:sz w:val="24"/>
          <w:szCs w:val="24"/>
          <w:u w:color="000000"/>
          <w14:textFill>
            <w14:solidFill>
              <w14:srgbClr w14:val="000000"/>
            </w14:solidFill>
          </w14:textFill>
        </w:rPr>
        <w:br w:type="page"/>
      </w:r>
    </w:p>
    <w:p>
      <w:pPr>
        <w:pStyle w:val="Body A"/>
        <w:suppressAutoHyphens w:val="1"/>
        <w:spacing w:line="240" w:lineRule="auto"/>
        <w:rPr>
          <w:rStyle w:val="None"/>
          <w:outline w:val="0"/>
          <w:color w:val="000000"/>
          <w:sz w:val="24"/>
          <w:szCs w:val="24"/>
          <w:u w:color="000000"/>
          <w14:textFill>
            <w14:solidFill>
              <w14:srgbClr w14:val="000000"/>
            </w14:solidFill>
          </w14:textFill>
        </w:rPr>
      </w:pPr>
      <w:r>
        <w:rPr>
          <w:rStyle w:val="None"/>
          <w:outline w:val="0"/>
          <w:color w:val="000000"/>
          <w:sz w:val="24"/>
          <w:szCs w:val="24"/>
          <w:u w:color="000000"/>
          <w:rtl w:val="0"/>
          <w:lang w:val="en-US"/>
          <w14:textFill>
            <w14:solidFill>
              <w14:srgbClr w14:val="000000"/>
            </w14:solidFill>
          </w14:textFill>
        </w:rPr>
        <w:t>Appendix 1</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 xml:space="preserve">The five Trial Forge Guidance 2 criteria for deciding when a new evaluation of a SWAT intervention is needed (from </w:t>
      </w:r>
      <w:r>
        <w:rPr>
          <w:rStyle w:val="Hyperlink.0"/>
        </w:rPr>
        <w:fldChar w:fldCharType="begin" w:fldLock="0"/>
      </w:r>
      <w:r>
        <w:rPr>
          <w:rStyle w:val="Hyperlink.0"/>
        </w:rPr>
        <w:instrText xml:space="preserve"> HYPERLINK "https://doi.org/10.1186/s13063-019-3980-5"</w:instrText>
      </w:r>
      <w:r>
        <w:rPr>
          <w:rStyle w:val="Hyperlink.0"/>
        </w:rPr>
        <w:fldChar w:fldCharType="separate" w:fldLock="0"/>
      </w:r>
      <w:r>
        <w:rPr>
          <w:rStyle w:val="Hyperlink.0"/>
          <w:rtl w:val="0"/>
          <w:lang w:val="en-US"/>
        </w:rPr>
        <w:t>https://doi.org/10.1186/s13063-019-3980-5</w:t>
      </w:r>
      <w:r>
        <w:rPr/>
        <w:fldChar w:fldCharType="end" w:fldLock="0"/>
      </w:r>
      <w:r>
        <w:rPr>
          <w:rStyle w:val="None"/>
          <w:b w:val="0"/>
          <w:bCs w:val="0"/>
          <w:outline w:val="0"/>
          <w:color w:val="000000"/>
          <w:sz w:val="24"/>
          <w:szCs w:val="24"/>
          <w:u w:color="000000"/>
          <w:rtl w:val="0"/>
          <w:lang w:val="en-US"/>
          <w14:textFill>
            <w14:solidFill>
              <w14:srgbClr w14:val="000000"/>
            </w14:solidFill>
          </w14:textFill>
        </w:rPr>
        <w:t>).</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Default"/>
        <w:pBdr>
          <w:top w:val="single" w:color="000000" w:sz="8" w:space="0" w:shadow="0" w:frame="0"/>
          <w:left w:val="single" w:color="000000" w:sz="8" w:space="0" w:shadow="0" w:frame="0"/>
          <w:bottom w:val="single" w:color="000000" w:sz="8" w:space="0" w:shadow="0" w:frame="0"/>
          <w:right w:val="single" w:color="000000" w:sz="8" w:space="0" w:shadow="0" w:frame="0"/>
        </w:pBd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rPr>
          <w:rStyle w:val="None"/>
          <w:rFonts w:ascii="Open Sans" w:cs="Open Sans" w:hAnsi="Open Sans" w:eastAsia="Open Sans"/>
          <w:sz w:val="20"/>
          <w:szCs w:val="20"/>
          <w:lang w:val="en-US"/>
        </w:rPr>
      </w:pPr>
    </w:p>
    <w:p>
      <w:pPr>
        <w:pStyle w:val="Default"/>
        <w:pBdr>
          <w:top w:val="single" w:color="000000" w:sz="8" w:space="0" w:shadow="0" w:frame="0"/>
          <w:left w:val="single" w:color="000000" w:sz="8" w:space="0" w:shadow="0" w:frame="0"/>
          <w:bottom w:val="single" w:color="000000" w:sz="8" w:space="0" w:shadow="0" w:frame="0"/>
          <w:right w:val="single" w:color="000000" w:sz="8" w:space="0" w:shadow="0" w:frame="0"/>
        </w:pBd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rPr>
          <w:rStyle w:val="None"/>
          <w:rFonts w:ascii="Open Sans" w:cs="Open Sans" w:hAnsi="Open Sans" w:eastAsia="Open Sans"/>
          <w:sz w:val="20"/>
          <w:szCs w:val="20"/>
        </w:rPr>
      </w:pPr>
      <w:r>
        <w:rPr>
          <w:rStyle w:val="None"/>
          <w:rFonts w:ascii="Open Sans" w:hAnsi="Open Sans"/>
          <w:sz w:val="20"/>
          <w:szCs w:val="20"/>
          <w:rtl w:val="0"/>
          <w:lang w:val="en-US"/>
        </w:rPr>
        <w:t xml:space="preserve">The five proposed criteria for deciding whether the intervention needs another evaluation in a SWAT.  The more criteria that are met, the more likely we are to conclude that further evaluation in a SWAT is appropriate.   </w:t>
      </w:r>
    </w:p>
    <w:p>
      <w:pPr>
        <w:pStyle w:val="Default"/>
        <w:pBdr>
          <w:top w:val="single" w:color="000000" w:sz="8" w:space="0" w:shadow="0" w:frame="0"/>
          <w:left w:val="single" w:color="000000" w:sz="8" w:space="0" w:shadow="0" w:frame="0"/>
          <w:bottom w:val="single" w:color="000000" w:sz="8" w:space="0" w:shadow="0" w:frame="0"/>
          <w:right w:val="single" w:color="000000" w:sz="8" w:space="0" w:shadow="0" w:frame="0"/>
        </w:pBdr>
        <w:tabs>
          <w:tab w:val="left" w:pos="35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rPr>
          <w:rStyle w:val="None"/>
          <w:rFonts w:ascii="Open Sans" w:cs="Open Sans" w:hAnsi="Open Sans" w:eastAsia="Open Sans"/>
          <w:sz w:val="20"/>
          <w:szCs w:val="20"/>
          <w:lang w:val="en-US"/>
        </w:rPr>
      </w:pPr>
    </w:p>
    <w:p>
      <w:pPr>
        <w:pStyle w:val="Default"/>
        <w:numPr>
          <w:ilvl w:val="0"/>
          <w:numId w:val="8"/>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i w:val="1"/>
          <w:iCs w:val="1"/>
          <w:sz w:val="20"/>
          <w:szCs w:val="20"/>
          <w:rtl w:val="0"/>
          <w:lang w:val="en-US"/>
        </w:rPr>
        <w:t>GRADE</w:t>
      </w:r>
      <w:r>
        <w:rPr>
          <w:rStyle w:val="None"/>
          <w:rFonts w:ascii="Open Sans" w:hAnsi="Open Sans"/>
          <w:sz w:val="20"/>
          <w:szCs w:val="20"/>
          <w:rtl w:val="0"/>
          <w:lang w:val="en-US"/>
        </w:rPr>
        <w:t xml:space="preserve">: the GRADE certainty in the evidence for all key outcomes is lower than </w:t>
      </w:r>
      <w:r>
        <w:rPr>
          <w:rStyle w:val="None"/>
          <w:rFonts w:ascii="Open Sans" w:hAnsi="Open Sans" w:hint="default"/>
          <w:sz w:val="20"/>
          <w:szCs w:val="20"/>
          <w:rtl w:val="0"/>
          <w:lang w:val="en-US"/>
        </w:rPr>
        <w:t>‘</w:t>
      </w:r>
      <w:r>
        <w:rPr>
          <w:rStyle w:val="None"/>
          <w:rFonts w:ascii="Open Sans" w:hAnsi="Open Sans"/>
          <w:sz w:val="20"/>
          <w:szCs w:val="20"/>
          <w:rtl w:val="0"/>
          <w:lang w:val="en-US"/>
        </w:rPr>
        <w:t>high</w:t>
      </w:r>
      <w:r>
        <w:rPr>
          <w:rStyle w:val="None"/>
          <w:rFonts w:ascii="Open Sans" w:hAnsi="Open Sans" w:hint="default"/>
          <w:sz w:val="20"/>
          <w:szCs w:val="20"/>
          <w:rtl w:val="0"/>
          <w:lang w:val="en-US"/>
        </w:rPr>
        <w:t>’</w:t>
      </w:r>
      <w:r>
        <w:rPr>
          <w:rStyle w:val="None"/>
          <w:rFonts w:ascii="Open Sans" w:hAnsi="Open Sans"/>
          <w:sz w:val="20"/>
          <w:szCs w:val="20"/>
          <w:rtl w:val="0"/>
          <w:lang w:val="en-US"/>
        </w:rPr>
        <w:t>.</w:t>
      </w:r>
      <w:r>
        <w:rPr>
          <w:rStyle w:val="None"/>
          <w:rFonts w:ascii="Open Sans" w:hAnsi="Open Sans"/>
          <w:sz w:val="20"/>
          <w:szCs w:val="20"/>
          <w:vertAlign w:val="superscript"/>
          <w:rtl w:val="0"/>
          <w:lang w:val="en-US"/>
        </w:rPr>
        <w:t>i</w:t>
      </w:r>
    </w:p>
    <w:p>
      <w:pPr>
        <w:pStyle w:val="Default"/>
        <w:numPr>
          <w:ilvl w:val="0"/>
          <w:numId w:val="8"/>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i w:val="1"/>
          <w:iCs w:val="1"/>
          <w:sz w:val="20"/>
          <w:szCs w:val="20"/>
          <w:rtl w:val="0"/>
          <w:lang w:val="en-US"/>
        </w:rPr>
        <w:t>Cumulated evidence</w:t>
      </w:r>
      <w:r>
        <w:rPr>
          <w:rStyle w:val="None"/>
          <w:rFonts w:ascii="Open Sans" w:hAnsi="Open Sans"/>
          <w:sz w:val="20"/>
          <w:szCs w:val="20"/>
          <w:rtl w:val="0"/>
          <w:lang w:val="en-US"/>
        </w:rPr>
        <w:t>: the cumulative meta-analysis shows that the effect estimate for each outcome essential to make an informed decision has not converged.</w:t>
      </w:r>
      <w:r>
        <w:rPr>
          <w:rStyle w:val="None"/>
          <w:rFonts w:ascii="Open Sans" w:hAnsi="Open Sans"/>
          <w:sz w:val="20"/>
          <w:szCs w:val="20"/>
          <w:vertAlign w:val="superscript"/>
          <w:rtl w:val="0"/>
          <w:lang w:val="en-US"/>
        </w:rPr>
        <w:t>ii, iii</w:t>
      </w:r>
    </w:p>
    <w:p>
      <w:pPr>
        <w:pStyle w:val="Default"/>
        <w:numPr>
          <w:ilvl w:val="0"/>
          <w:numId w:val="8"/>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i w:val="1"/>
          <w:iCs w:val="1"/>
          <w:sz w:val="20"/>
          <w:szCs w:val="20"/>
          <w:rtl w:val="0"/>
          <w:lang w:val="en-US"/>
        </w:rPr>
        <w:t>Context</w:t>
      </w:r>
      <w:r>
        <w:rPr>
          <w:rStyle w:val="None"/>
          <w:rFonts w:ascii="Open Sans" w:hAnsi="Open Sans"/>
          <w:sz w:val="20"/>
          <w:szCs w:val="20"/>
          <w:rtl w:val="0"/>
          <w:lang w:val="en-US"/>
        </w:rPr>
        <w:t>: the range of host trial contexts evaluated to date does not translate easily to the context of the proposed SWAT</w:t>
      </w:r>
      <w:r>
        <w:rPr>
          <w:rStyle w:val="None"/>
          <w:rFonts w:ascii="Open Sans" w:hAnsi="Open Sans"/>
          <w:sz w:val="20"/>
          <w:szCs w:val="20"/>
          <w:vertAlign w:val="superscript"/>
          <w:rtl w:val="0"/>
          <w:lang w:val="en-US"/>
        </w:rPr>
        <w:t>iv</w:t>
      </w:r>
      <w:r>
        <w:rPr>
          <w:rStyle w:val="None"/>
          <w:rFonts w:ascii="Open Sans" w:hAnsi="Open Sans"/>
          <w:sz w:val="20"/>
          <w:szCs w:val="20"/>
          <w:rtl w:val="0"/>
          <w:lang w:val="en-US"/>
        </w:rPr>
        <w:t>.  For the proposed SWAT consider PICOT:</w:t>
      </w:r>
    </w:p>
    <w:p>
      <w:pPr>
        <w:pStyle w:val="Default"/>
        <w:numPr>
          <w:ilvl w:val="0"/>
          <w:numId w:val="10"/>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sz w:val="20"/>
          <w:szCs w:val="20"/>
          <w:rtl w:val="0"/>
          <w:lang w:val="en-US"/>
        </w:rPr>
        <w:t xml:space="preserve">P </w:t>
      </w:r>
      <w:r>
        <w:rPr>
          <w:rStyle w:val="None"/>
          <w:rFonts w:ascii="Open Sans" w:hAnsi="Open Sans" w:hint="default"/>
          <w:sz w:val="20"/>
          <w:szCs w:val="20"/>
          <w:rtl w:val="0"/>
          <w:lang w:val="en-US"/>
        </w:rPr>
        <w:t xml:space="preserve">– </w:t>
      </w:r>
      <w:r>
        <w:rPr>
          <w:rStyle w:val="None"/>
          <w:rFonts w:ascii="Open Sans" w:hAnsi="Open Sans"/>
          <w:sz w:val="20"/>
          <w:szCs w:val="20"/>
          <w:rtl w:val="0"/>
          <w:lang w:val="en-US"/>
        </w:rPr>
        <w:t>is the population in the host trial so different from those already included that the current evidence does not provide sufficient certainty?</w:t>
      </w:r>
    </w:p>
    <w:p>
      <w:pPr>
        <w:pStyle w:val="Default"/>
        <w:numPr>
          <w:ilvl w:val="0"/>
          <w:numId w:val="10"/>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sz w:val="20"/>
          <w:szCs w:val="20"/>
          <w:rtl w:val="0"/>
          <w:lang w:val="en-US"/>
        </w:rPr>
        <w:t xml:space="preserve">I </w:t>
      </w:r>
      <w:r>
        <w:rPr>
          <w:rStyle w:val="None"/>
          <w:rFonts w:ascii="Open Sans" w:hAnsi="Open Sans" w:hint="default"/>
          <w:sz w:val="20"/>
          <w:szCs w:val="20"/>
          <w:rtl w:val="0"/>
          <w:lang w:val="en-US"/>
        </w:rPr>
        <w:t xml:space="preserve">– </w:t>
      </w:r>
      <w:r>
        <w:rPr>
          <w:rStyle w:val="None"/>
          <w:rFonts w:ascii="Open Sans" w:hAnsi="Open Sans"/>
          <w:sz w:val="20"/>
          <w:szCs w:val="20"/>
          <w:rtl w:val="0"/>
          <w:lang w:val="en-US"/>
        </w:rPr>
        <w:t>are the health interventions in the host trial so different from those already included that the current evidence does not provide sufficient certainty?</w:t>
      </w:r>
    </w:p>
    <w:p>
      <w:pPr>
        <w:pStyle w:val="Default"/>
        <w:numPr>
          <w:ilvl w:val="0"/>
          <w:numId w:val="10"/>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sz w:val="20"/>
          <w:szCs w:val="20"/>
          <w:rtl w:val="0"/>
          <w:lang w:val="en-US"/>
        </w:rPr>
        <w:t xml:space="preserve">C </w:t>
      </w:r>
      <w:r>
        <w:rPr>
          <w:rStyle w:val="None"/>
          <w:rFonts w:ascii="Open Sans" w:hAnsi="Open Sans" w:hint="default"/>
          <w:sz w:val="20"/>
          <w:szCs w:val="20"/>
          <w:rtl w:val="0"/>
          <w:lang w:val="en-US"/>
        </w:rPr>
        <w:t xml:space="preserve">– </w:t>
      </w:r>
      <w:r>
        <w:rPr>
          <w:rStyle w:val="None"/>
          <w:rFonts w:ascii="Open Sans" w:hAnsi="Open Sans"/>
          <w:sz w:val="20"/>
          <w:szCs w:val="20"/>
          <w:rtl w:val="0"/>
          <w:lang w:val="en-US"/>
        </w:rPr>
        <w:t>is the comparator in the host trial so different from those already included that the current evidence does not provide sufficient certainty?</w:t>
      </w:r>
    </w:p>
    <w:p>
      <w:pPr>
        <w:pStyle w:val="Default"/>
        <w:numPr>
          <w:ilvl w:val="0"/>
          <w:numId w:val="10"/>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sz w:val="20"/>
          <w:szCs w:val="20"/>
          <w:rtl w:val="0"/>
          <w:lang w:val="en-US"/>
        </w:rPr>
        <w:t xml:space="preserve">O </w:t>
      </w:r>
      <w:r>
        <w:rPr>
          <w:rStyle w:val="None"/>
          <w:rFonts w:ascii="Open Sans" w:hAnsi="Open Sans" w:hint="default"/>
          <w:sz w:val="20"/>
          <w:szCs w:val="20"/>
          <w:rtl w:val="0"/>
          <w:lang w:val="en-US"/>
        </w:rPr>
        <w:t xml:space="preserve">– </w:t>
      </w:r>
      <w:r>
        <w:rPr>
          <w:rStyle w:val="None"/>
          <w:rFonts w:ascii="Open Sans" w:hAnsi="Open Sans"/>
          <w:sz w:val="20"/>
          <w:szCs w:val="20"/>
          <w:rtl w:val="0"/>
          <w:lang w:val="en-US"/>
        </w:rPr>
        <w:t>is the SWAT outcome(s) so different to those used in the existing evaluations that that the current evidence does not provide sufficient certainty?</w:t>
      </w:r>
    </w:p>
    <w:p>
      <w:pPr>
        <w:pStyle w:val="Default"/>
        <w:numPr>
          <w:ilvl w:val="0"/>
          <w:numId w:val="10"/>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sz w:val="20"/>
          <w:szCs w:val="20"/>
          <w:rtl w:val="0"/>
          <w:lang w:val="en-US"/>
        </w:rPr>
        <w:t xml:space="preserve">T </w:t>
      </w:r>
      <w:r>
        <w:rPr>
          <w:rStyle w:val="None"/>
          <w:rFonts w:ascii="Open Sans" w:hAnsi="Open Sans" w:hint="default"/>
          <w:sz w:val="20"/>
          <w:szCs w:val="20"/>
          <w:rtl w:val="0"/>
          <w:lang w:val="en-US"/>
        </w:rPr>
        <w:t xml:space="preserve">– </w:t>
      </w:r>
      <w:r>
        <w:rPr>
          <w:rStyle w:val="None"/>
          <w:rFonts w:ascii="Open Sans" w:hAnsi="Open Sans"/>
          <w:sz w:val="20"/>
          <w:szCs w:val="20"/>
          <w:rtl w:val="0"/>
          <w:lang w:val="en-US"/>
        </w:rPr>
        <w:t>in the time since the existing evaluations were done, have regulatory, technological or societal changes made those evaluations less relevant?</w:t>
      </w:r>
    </w:p>
    <w:p>
      <w:pPr>
        <w:pStyle w:val="Default"/>
        <w:numPr>
          <w:ilvl w:val="0"/>
          <w:numId w:val="13"/>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i w:val="1"/>
          <w:iCs w:val="1"/>
          <w:sz w:val="20"/>
          <w:szCs w:val="20"/>
          <w:rtl w:val="0"/>
          <w:lang w:val="en-US"/>
        </w:rPr>
        <w:t>Balance</w:t>
      </w:r>
      <w:r>
        <w:rPr>
          <w:rStyle w:val="None"/>
          <w:rFonts w:ascii="Open Sans" w:hAnsi="Open Sans" w:hint="default"/>
          <w:i w:val="1"/>
          <w:iCs w:val="1"/>
          <w:sz w:val="20"/>
          <w:szCs w:val="20"/>
          <w:rtl w:val="0"/>
          <w:lang w:val="en-US"/>
        </w:rPr>
        <w:t xml:space="preserve">– </w:t>
      </w:r>
      <w:r>
        <w:rPr>
          <w:rStyle w:val="None"/>
          <w:rFonts w:ascii="Open Sans" w:hAnsi="Open Sans"/>
          <w:i w:val="1"/>
          <w:iCs w:val="1"/>
          <w:sz w:val="20"/>
          <w:szCs w:val="20"/>
          <w:rtl w:val="0"/>
          <w:lang w:val="en-US"/>
        </w:rPr>
        <w:t>participants</w:t>
      </w:r>
      <w:r>
        <w:rPr>
          <w:rStyle w:val="None"/>
          <w:rFonts w:ascii="Open Sans" w:hAnsi="Open Sans"/>
          <w:sz w:val="20"/>
          <w:szCs w:val="20"/>
          <w:rtl w:val="0"/>
          <w:lang w:val="en-US"/>
        </w:rPr>
        <w:t>: the balance of benefit and disadvantage to participants in the host trial and/or the SWAT is not clear</w:t>
      </w:r>
      <w:r>
        <w:rPr>
          <w:rStyle w:val="None"/>
          <w:rFonts w:ascii="Open Sans" w:hAnsi="Open Sans"/>
          <w:sz w:val="20"/>
          <w:szCs w:val="20"/>
          <w:vertAlign w:val="superscript"/>
          <w:rtl w:val="0"/>
          <w:lang w:val="en-US"/>
        </w:rPr>
        <w:t>v</w:t>
      </w:r>
      <w:r>
        <w:rPr>
          <w:rStyle w:val="None"/>
          <w:rFonts w:ascii="Open Sans" w:hAnsi="Open Sans"/>
          <w:sz w:val="20"/>
          <w:szCs w:val="20"/>
          <w:rtl w:val="0"/>
          <w:lang w:val="en-US"/>
        </w:rPr>
        <w:t>.</w:t>
      </w:r>
    </w:p>
    <w:p>
      <w:pPr>
        <w:pStyle w:val="Default"/>
        <w:numPr>
          <w:ilvl w:val="0"/>
          <w:numId w:val="12"/>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i w:val="1"/>
          <w:iCs w:val="1"/>
          <w:sz w:val="20"/>
          <w:szCs w:val="20"/>
          <w:rtl w:val="0"/>
          <w:lang w:val="en-US"/>
        </w:rPr>
        <w:t>Balance</w:t>
      </w:r>
      <w:r>
        <w:rPr>
          <w:rStyle w:val="None"/>
          <w:rFonts w:ascii="Open Sans" w:hAnsi="Open Sans" w:hint="default"/>
          <w:i w:val="1"/>
          <w:iCs w:val="1"/>
          <w:sz w:val="20"/>
          <w:szCs w:val="20"/>
          <w:rtl w:val="0"/>
          <w:lang w:val="en-US"/>
        </w:rPr>
        <w:t xml:space="preserve">– </w:t>
      </w:r>
      <w:r>
        <w:rPr>
          <w:rStyle w:val="None"/>
          <w:rFonts w:ascii="Open Sans" w:hAnsi="Open Sans"/>
          <w:i w:val="1"/>
          <w:iCs w:val="1"/>
          <w:sz w:val="20"/>
          <w:szCs w:val="20"/>
          <w:rtl w:val="0"/>
          <w:lang w:val="en-US"/>
        </w:rPr>
        <w:t>host trial</w:t>
      </w:r>
      <w:r>
        <w:rPr>
          <w:rStyle w:val="None"/>
          <w:rFonts w:ascii="Open Sans" w:hAnsi="Open Sans"/>
          <w:sz w:val="20"/>
          <w:szCs w:val="20"/>
          <w:rtl w:val="0"/>
          <w:lang w:val="en-US"/>
        </w:rPr>
        <w:t>: the balance of benefit and disadvantage to the new host trial is not clear</w:t>
      </w:r>
      <w:r>
        <w:rPr>
          <w:rStyle w:val="None"/>
          <w:rFonts w:ascii="Open Sans" w:hAnsi="Open Sans"/>
          <w:sz w:val="20"/>
          <w:szCs w:val="20"/>
          <w:vertAlign w:val="superscript"/>
          <w:rtl w:val="0"/>
          <w:lang w:val="en-US"/>
        </w:rPr>
        <w:t>vi</w:t>
      </w:r>
      <w:r>
        <w:rPr>
          <w:rStyle w:val="None"/>
          <w:rFonts w:ascii="Open Sans" w:hAnsi="Open Sans"/>
          <w:sz w:val="20"/>
          <w:szCs w:val="20"/>
          <w:rtl w:val="0"/>
          <w:lang w:val="en-US"/>
        </w:rPr>
        <w:t>.</w:t>
      </w:r>
    </w:p>
    <w:p>
      <w:pPr>
        <w:pStyle w:val="Default"/>
        <w:pBdr>
          <w:top w:val="single" w:color="000000" w:sz="8" w:space="0" w:shadow="0" w:frame="0"/>
          <w:left w:val="single" w:color="000000" w:sz="8" w:space="0" w:shadow="0" w:frame="0"/>
          <w:bottom w:val="single" w:color="000000" w:sz="8" w:space="0" w:shadow="0" w:frame="0"/>
          <w:right w:val="single" w:color="000000" w:sz="8" w:space="0" w:shadow="0" w:frame="0"/>
        </w:pBdr>
        <w:tabs>
          <w:tab w:val="left" w:pos="35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rPr>
          <w:rStyle w:val="None"/>
          <w:rFonts w:ascii="Open Sans" w:cs="Open Sans" w:hAnsi="Open Sans" w:eastAsia="Open Sans"/>
          <w:sz w:val="24"/>
          <w:szCs w:val="24"/>
          <w:lang w:val="en-US"/>
        </w:rPr>
      </w:pPr>
    </w:p>
    <w:p>
      <w:pPr>
        <w:pStyle w:val="Default"/>
        <w:pBdr>
          <w:top w:val="single" w:color="000000" w:sz="8" w:space="0" w:shadow="0" w:frame="0"/>
          <w:left w:val="single" w:color="000000" w:sz="8" w:space="0" w:shadow="0" w:frame="0"/>
          <w:bottom w:val="single" w:color="000000" w:sz="8" w:space="0" w:shadow="0" w:frame="0"/>
          <w:right w:val="single" w:color="000000" w:sz="8" w:space="0" w:shadow="0" w:frame="0"/>
        </w:pBdr>
        <w:tabs>
          <w:tab w:val="left" w:pos="35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rPr>
          <w:rStyle w:val="None"/>
          <w:rFonts w:ascii="Open Sans" w:cs="Open Sans" w:hAnsi="Open Sans" w:eastAsia="Open Sans"/>
          <w:b w:val="1"/>
          <w:bCs w:val="1"/>
          <w:sz w:val="18"/>
          <w:szCs w:val="18"/>
        </w:rPr>
      </w:pPr>
      <w:r>
        <w:rPr>
          <w:rStyle w:val="None"/>
          <w:rFonts w:ascii="Open Sans" w:hAnsi="Open Sans"/>
          <w:b w:val="1"/>
          <w:bCs w:val="1"/>
          <w:sz w:val="24"/>
          <w:szCs w:val="24"/>
          <w:rtl w:val="0"/>
          <w:lang w:val="en-US"/>
        </w:rPr>
        <w:t>Notes</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 xml:space="preserve">A GRADE assessment of </w:t>
      </w:r>
      <w:r>
        <w:rPr>
          <w:rStyle w:val="None"/>
          <w:rFonts w:ascii="Open Sans" w:hAnsi="Open Sans" w:hint="default"/>
          <w:sz w:val="18"/>
          <w:szCs w:val="18"/>
          <w:rtl w:val="0"/>
          <w:lang w:val="en-US"/>
        </w:rPr>
        <w:t>‘</w:t>
      </w:r>
      <w:r>
        <w:rPr>
          <w:rStyle w:val="None"/>
          <w:rFonts w:ascii="Open Sans" w:hAnsi="Open Sans"/>
          <w:sz w:val="18"/>
          <w:szCs w:val="18"/>
          <w:rtl w:val="0"/>
          <w:lang w:val="en-US"/>
        </w:rPr>
        <w:t>high</w:t>
      </w:r>
      <w:r>
        <w:rPr>
          <w:rStyle w:val="None"/>
          <w:rFonts w:ascii="Open Sans" w:hAnsi="Open Sans" w:hint="default"/>
          <w:sz w:val="18"/>
          <w:szCs w:val="18"/>
          <w:rtl w:val="0"/>
          <w:lang w:val="en-US"/>
        </w:rPr>
        <w:t xml:space="preserve">’ </w:t>
      </w:r>
      <w:r>
        <w:rPr>
          <w:rStyle w:val="None"/>
          <w:rFonts w:ascii="Open Sans" w:hAnsi="Open Sans"/>
          <w:sz w:val="18"/>
          <w:szCs w:val="18"/>
          <w:rtl w:val="0"/>
          <w:lang w:val="en-US"/>
        </w:rPr>
        <w:t>means that we are confident that the true effect lies close to the estimate of effect coming from the cumulative meta-analysis.  In Cochrane</w:t>
      </w:r>
      <w:r>
        <w:rPr>
          <w:rStyle w:val="None"/>
          <w:rFonts w:ascii="Open Sans" w:hAnsi="Open Sans" w:hint="default"/>
          <w:sz w:val="18"/>
          <w:szCs w:val="18"/>
          <w:rtl w:val="0"/>
          <w:lang w:val="en-US"/>
        </w:rPr>
        <w:t>’</w:t>
      </w:r>
      <w:r>
        <w:rPr>
          <w:rStyle w:val="None"/>
          <w:rFonts w:ascii="Open Sans" w:hAnsi="Open Sans"/>
          <w:sz w:val="18"/>
          <w:szCs w:val="18"/>
          <w:rtl w:val="0"/>
          <w:lang w:val="en-US"/>
        </w:rPr>
        <w:t>s deliberations as to when to close a Cochrane Review (</w:t>
      </w:r>
      <w:r>
        <w:rPr>
          <w:rStyle w:val="Hyperlink.1"/>
          <w:rFonts w:ascii="Open Sans" w:cs="Open Sans" w:hAnsi="Open Sans" w:eastAsia="Open Sans"/>
          <w:sz w:val="18"/>
          <w:szCs w:val="18"/>
        </w:rPr>
        <w:fldChar w:fldCharType="begin" w:fldLock="0"/>
      </w:r>
      <w:r>
        <w:rPr>
          <w:rStyle w:val="Hyperlink.1"/>
          <w:rFonts w:ascii="Open Sans" w:cs="Open Sans" w:hAnsi="Open Sans" w:eastAsia="Open Sans"/>
          <w:sz w:val="18"/>
          <w:szCs w:val="18"/>
        </w:rPr>
        <w:instrText xml:space="preserve"> HYPERLINK "https://www.cochranelibrary.com/cdsr/doi/10.1002/14651858.ED000107/full"</w:instrText>
      </w:r>
      <w:r>
        <w:rPr>
          <w:rStyle w:val="Hyperlink.1"/>
          <w:rFonts w:ascii="Open Sans" w:cs="Open Sans" w:hAnsi="Open Sans" w:eastAsia="Open Sans"/>
          <w:sz w:val="18"/>
          <w:szCs w:val="18"/>
        </w:rPr>
        <w:fldChar w:fldCharType="separate" w:fldLock="0"/>
      </w:r>
      <w:r>
        <w:rPr>
          <w:rStyle w:val="Hyperlink.1"/>
          <w:rFonts w:ascii="Open Sans" w:hAnsi="Open Sans"/>
          <w:sz w:val="18"/>
          <w:szCs w:val="18"/>
          <w:rtl w:val="0"/>
          <w:lang w:val="en-US"/>
        </w:rPr>
        <w:t>https://www.cochranelibrary.com/cdsr/doi/10.1002/14651858.ED000107/full</w:t>
      </w:r>
      <w:r>
        <w:rPr>
          <w:rFonts w:ascii="Open Sans" w:cs="Open Sans" w:hAnsi="Open Sans" w:eastAsia="Open Sans"/>
          <w:sz w:val="18"/>
          <w:szCs w:val="18"/>
        </w:rPr>
        <w:fldChar w:fldCharType="end" w:fldLock="0"/>
      </w:r>
      <w:r>
        <w:rPr>
          <w:rStyle w:val="None"/>
          <w:rFonts w:ascii="Open Sans" w:hAnsi="Open Sans"/>
          <w:sz w:val="18"/>
          <w:szCs w:val="18"/>
          <w:rtl w:val="0"/>
          <w:lang w:val="en-US"/>
        </w:rPr>
        <w:t xml:space="preserve">), the collaboration chose not to require </w:t>
      </w:r>
      <w:r>
        <w:rPr>
          <w:rStyle w:val="None"/>
          <w:rFonts w:ascii="Open Sans" w:hAnsi="Open Sans" w:hint="default"/>
          <w:sz w:val="18"/>
          <w:szCs w:val="18"/>
          <w:rtl w:val="0"/>
          <w:lang w:val="en-US"/>
        </w:rPr>
        <w:t>‘</w:t>
      </w:r>
      <w:r>
        <w:rPr>
          <w:rStyle w:val="None"/>
          <w:rFonts w:ascii="Open Sans" w:hAnsi="Open Sans"/>
          <w:sz w:val="18"/>
          <w:szCs w:val="18"/>
          <w:rtl w:val="0"/>
          <w:lang w:val="en-US"/>
        </w:rPr>
        <w:t>high</w:t>
      </w:r>
      <w:r>
        <w:rPr>
          <w:rStyle w:val="None"/>
          <w:rFonts w:ascii="Open Sans" w:hAnsi="Open Sans" w:hint="default"/>
          <w:sz w:val="18"/>
          <w:szCs w:val="18"/>
          <w:rtl w:val="0"/>
          <w:lang w:val="en-US"/>
        </w:rPr>
        <w:t xml:space="preserve">’ </w:t>
      </w:r>
      <w:r>
        <w:rPr>
          <w:rStyle w:val="None"/>
          <w:rFonts w:ascii="Open Sans" w:hAnsi="Open Sans"/>
          <w:sz w:val="18"/>
          <w:szCs w:val="18"/>
          <w:rtl w:val="0"/>
          <w:lang w:val="en-US"/>
        </w:rPr>
        <w:t xml:space="preserve">GRADE certainty in the evidence because it was felt that this may not always be achievable. Although we recognise the pragmatic nature of this, we recommend </w:t>
      </w:r>
      <w:r>
        <w:rPr>
          <w:rStyle w:val="None"/>
          <w:rFonts w:ascii="Open Sans" w:hAnsi="Open Sans" w:hint="default"/>
          <w:sz w:val="18"/>
          <w:szCs w:val="18"/>
          <w:rtl w:val="0"/>
          <w:lang w:val="en-US"/>
        </w:rPr>
        <w:t>‘</w:t>
      </w:r>
      <w:r>
        <w:rPr>
          <w:rStyle w:val="None"/>
          <w:rFonts w:ascii="Open Sans" w:hAnsi="Open Sans"/>
          <w:sz w:val="18"/>
          <w:szCs w:val="18"/>
          <w:rtl w:val="0"/>
          <w:lang w:val="en-US"/>
        </w:rPr>
        <w:t>high</w:t>
      </w:r>
      <w:r>
        <w:rPr>
          <w:rStyle w:val="None"/>
          <w:rFonts w:ascii="Open Sans" w:hAnsi="Open Sans" w:hint="default"/>
          <w:sz w:val="18"/>
          <w:szCs w:val="18"/>
          <w:rtl w:val="0"/>
          <w:lang w:val="en-US"/>
        </w:rPr>
        <w:t xml:space="preserve">‘ </w:t>
      </w:r>
      <w:r>
        <w:rPr>
          <w:rStyle w:val="None"/>
          <w:rFonts w:ascii="Open Sans" w:hAnsi="Open Sans"/>
          <w:sz w:val="18"/>
          <w:szCs w:val="18"/>
          <w:rtl w:val="0"/>
          <w:lang w:val="en-US"/>
        </w:rPr>
        <w:t>in our criteria because SWATs are usually simple studies for which it should be possible to generate high certainty evidence. We will, however, keep this criterion under review to consider whether it needs relaxing.</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 xml:space="preserve">This is a judgement that depends on the behaviour of the effect estimates and on whether the confidence intervals include the threshold for an important benefit (or disadvantage).  For example, if there is drift in the effect estimates of a meta-analyses but the confidence intervals around the estimates are consistently above what you think is an important benefit (or below a relevant disadvantage) then the cumulative meta-analysis can be judged to have converged despite movement in the effect estimates.  For more on GRADE see </w:t>
      </w:r>
      <w:r>
        <w:rPr>
          <w:rStyle w:val="Hyperlink.1"/>
          <w:rFonts w:ascii="Open Sans" w:cs="Open Sans" w:hAnsi="Open Sans" w:eastAsia="Open Sans"/>
          <w:sz w:val="18"/>
          <w:szCs w:val="18"/>
        </w:rPr>
        <w:fldChar w:fldCharType="begin" w:fldLock="0"/>
      </w:r>
      <w:r>
        <w:rPr>
          <w:rStyle w:val="Hyperlink.1"/>
          <w:rFonts w:ascii="Open Sans" w:cs="Open Sans" w:hAnsi="Open Sans" w:eastAsia="Open Sans"/>
          <w:sz w:val="18"/>
          <w:szCs w:val="18"/>
        </w:rPr>
        <w:instrText xml:space="preserve"> HYPERLINK "http://www.gradeworkinggroup.org"</w:instrText>
      </w:r>
      <w:r>
        <w:rPr>
          <w:rStyle w:val="Hyperlink.1"/>
          <w:rFonts w:ascii="Open Sans" w:cs="Open Sans" w:hAnsi="Open Sans" w:eastAsia="Open Sans"/>
          <w:sz w:val="18"/>
          <w:szCs w:val="18"/>
        </w:rPr>
        <w:fldChar w:fldCharType="separate" w:fldLock="0"/>
      </w:r>
      <w:r>
        <w:rPr>
          <w:rStyle w:val="Hyperlink.1"/>
          <w:rFonts w:ascii="Open Sans" w:hAnsi="Open Sans"/>
          <w:sz w:val="18"/>
          <w:szCs w:val="18"/>
          <w:rtl w:val="0"/>
          <w:lang w:val="en-US"/>
        </w:rPr>
        <w:t>http://www.gradeworkinggroup.org</w:t>
      </w:r>
      <w:r>
        <w:rPr>
          <w:rFonts w:ascii="Open Sans" w:cs="Open Sans" w:hAnsi="Open Sans" w:eastAsia="Open Sans"/>
          <w:sz w:val="18"/>
          <w:szCs w:val="18"/>
        </w:rPr>
        <w:fldChar w:fldCharType="end" w:fldLock="0"/>
      </w:r>
      <w:r>
        <w:rPr>
          <w:rStyle w:val="None"/>
          <w:rFonts w:ascii="Open Sans" w:hAnsi="Open Sans"/>
          <w:sz w:val="18"/>
          <w:szCs w:val="18"/>
          <w:rtl w:val="0"/>
          <w:lang w:val="en-US"/>
        </w:rPr>
        <w:t xml:space="preserve">. </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A cumulative meta-analysis requires the same outcomes to have been measured in the same way in the studies to be combined.  Most SWAT protocols specify just one or perhaps two outcomes, which reduces the scope for different outcomes between evaluations.  Tighter specification of outcomes on SWAT protocols would help even more (e.g. retention sounds simple but could mean the proportion of participants who remain in the trial, the proportion who return a form, or the proportion who fully complete all forms).  Core outcome sets for trial processes may help and this is being done in ELICIT for interventions to improve informed consent</w:t>
      </w:r>
      <w:r>
        <w:rPr>
          <w:rStyle w:val="None"/>
          <w:rFonts w:ascii="Open Sans" w:hAnsi="Open Sans"/>
          <w:sz w:val="18"/>
          <w:szCs w:val="18"/>
          <w:vertAlign w:val="superscript"/>
          <w:rtl w:val="0"/>
          <w:lang w:val="en-US"/>
        </w:rPr>
        <w:t>24</w:t>
      </w:r>
      <w:r>
        <w:rPr>
          <w:rStyle w:val="None"/>
          <w:rFonts w:ascii="Open Sans" w:hAnsi="Open Sans"/>
          <w:sz w:val="18"/>
          <w:szCs w:val="18"/>
          <w:rtl w:val="0"/>
          <w:lang w:val="en-US"/>
        </w:rPr>
        <w:t>.</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 xml:space="preserve">This is to provide reassurance about the applicability of the result to different types of trials.  Care is needed to avoid a default position of insisting on an evaluation in every conceivable context.  In other words, is there any reason to believe that the intervention would </w:t>
      </w:r>
      <w:r>
        <w:rPr>
          <w:rStyle w:val="None"/>
          <w:rFonts w:ascii="Open Sans" w:hAnsi="Open Sans"/>
          <w:i w:val="1"/>
          <w:iCs w:val="1"/>
          <w:sz w:val="18"/>
          <w:szCs w:val="18"/>
          <w:rtl w:val="0"/>
          <w:lang w:val="en-US"/>
        </w:rPr>
        <w:t>not</w:t>
      </w:r>
      <w:r>
        <w:rPr>
          <w:rStyle w:val="None"/>
          <w:rFonts w:ascii="Open Sans" w:hAnsi="Open Sans"/>
          <w:sz w:val="18"/>
          <w:szCs w:val="18"/>
          <w:rtl w:val="0"/>
          <w:lang w:val="en-US"/>
        </w:rPr>
        <w:t xml:space="preserve"> work in your context given the contexts already studied?  It is possible that evidence from SWATs will eventually splinter off to focus specifically on certain contexts but, for now, we suggest pooling evaluations of the same intervention because there are so few SWAT evaluations of any intervention and this pooling will provide a basic foundation on which to build. </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 xml:space="preserve">Where there may be no conceivable benefit or disadvantage for participants, they should be considered as balanced. </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A benefit might be that the host trial recruits faster, or its data quality is improved.  Examples of disadvantages might be that there are added costs to the host trial, or that a new task is introduced into the workload of trial managers.</w:t>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Open Sans">
    <w:charset w:val="00"/>
    <w:family w:val="roman"/>
    <w:pitch w:val="default"/>
  </w:font>
  <w:font w:name="Open Sans Semibold">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819"/>
        <w:tab w:val="right" w:pos="9612"/>
        <w:tab w:val="clear" w:pos="9020"/>
      </w:tabs>
    </w:pPr>
    <w:r>
      <w:rPr>
        <w:rFonts w:ascii="Open Sans" w:hAnsi="Open Sans"/>
        <w:sz w:val="18"/>
        <w:szCs w:val="18"/>
      </w:rPr>
      <w:tab/>
    </w:r>
    <w:r>
      <w:rPr>
        <w:rFonts w:ascii="Open Sans" w:hAnsi="Open Sans"/>
        <w:sz w:val="18"/>
        <w:szCs w:val="18"/>
        <w:rtl w:val="0"/>
        <w:lang w:val="en-US"/>
      </w:rPr>
      <w:t xml:space="preserve">Page </w:t>
    </w:r>
    <w:r>
      <w:rPr>
        <w:rFonts w:ascii="Open Sans" w:cs="Open Sans" w:hAnsi="Open Sans" w:eastAsia="Open Sans"/>
        <w:sz w:val="18"/>
        <w:szCs w:val="18"/>
        <w:rtl w:val="0"/>
      </w:rPr>
      <w:fldChar w:fldCharType="begin" w:fldLock="0"/>
    </w:r>
    <w:r>
      <w:rPr>
        <w:rFonts w:ascii="Open Sans" w:cs="Open Sans" w:hAnsi="Open Sans" w:eastAsia="Open Sans"/>
        <w:sz w:val="18"/>
        <w:szCs w:val="18"/>
        <w:rtl w:val="0"/>
      </w:rPr>
      <w:instrText xml:space="preserve"> PAGE </w:instrText>
    </w:r>
    <w:r>
      <w:rPr>
        <w:rFonts w:ascii="Open Sans" w:cs="Open Sans" w:hAnsi="Open Sans" w:eastAsia="Open Sans"/>
        <w:sz w:val="18"/>
        <w:szCs w:val="18"/>
        <w:rtl w:val="0"/>
      </w:rPr>
      <w:fldChar w:fldCharType="separate" w:fldLock="0"/>
    </w:r>
    <w:r>
      <w:rPr>
        <w:rFonts w:ascii="Open Sans" w:cs="Open Sans" w:hAnsi="Open Sans" w:eastAsia="Open Sans"/>
        <w:sz w:val="18"/>
        <w:szCs w:val="18"/>
        <w:rtl w:val="0"/>
      </w:rPr>
      <w:t>1</w:t>
    </w:r>
    <w:r>
      <w:rPr>
        <w:rFonts w:ascii="Open Sans" w:cs="Open Sans" w:hAnsi="Open Sans" w:eastAsia="Open Sans"/>
        <w:sz w:val="18"/>
        <w:szCs w:val="18"/>
        <w:rtl w:val="0"/>
      </w:rPr>
      <w:fldChar w:fldCharType="end" w:fldLock="0"/>
    </w:r>
    <w:r>
      <w:rPr>
        <w:rFonts w:ascii="Open Sans" w:hAnsi="Open Sans"/>
        <w:sz w:val="18"/>
        <w:szCs w:val="18"/>
        <w:rtl w:val="0"/>
        <w:lang w:val="en-US"/>
      </w:rPr>
      <w:t xml:space="preserve"> of </w:t>
    </w:r>
    <w:r>
      <w:rPr>
        <w:rFonts w:ascii="Open Sans" w:cs="Open Sans" w:hAnsi="Open Sans" w:eastAsia="Open Sans"/>
        <w:sz w:val="18"/>
        <w:szCs w:val="18"/>
        <w:rtl w:val="0"/>
      </w:rPr>
      <w:fldChar w:fldCharType="begin" w:fldLock="0"/>
    </w:r>
    <w:r>
      <w:rPr>
        <w:rFonts w:ascii="Open Sans" w:cs="Open Sans" w:hAnsi="Open Sans" w:eastAsia="Open Sans"/>
        <w:sz w:val="18"/>
        <w:szCs w:val="18"/>
        <w:rtl w:val="0"/>
      </w:rPr>
      <w:instrText xml:space="preserve"> NUMPAGES </w:instrText>
    </w:r>
    <w:r>
      <w:rPr>
        <w:rFonts w:ascii="Open Sans" w:cs="Open Sans" w:hAnsi="Open Sans" w:eastAsia="Open Sans"/>
        <w:sz w:val="18"/>
        <w:szCs w:val="18"/>
        <w:rtl w:val="0"/>
      </w:rPr>
      <w:fldChar w:fldCharType="separate" w:fldLock="0"/>
    </w:r>
    <w:r>
      <w:rPr>
        <w:rFonts w:ascii="Open Sans" w:cs="Open Sans" w:hAnsi="Open Sans" w:eastAsia="Open Sans"/>
        <w:sz w:val="18"/>
        <w:szCs w:val="18"/>
        <w:rtl w:val="0"/>
      </w:rPr>
      <w:t>1</w:t>
    </w:r>
    <w:r>
      <w:rPr>
        <w:rFonts w:ascii="Open Sans" w:cs="Open Sans" w:hAnsi="Open Sans" w:eastAsia="Open Sans"/>
        <w:sz w:val="18"/>
        <w:szCs w:val="18"/>
        <w:rtl w:val="0"/>
      </w:rPr>
      <w:fldChar w:fldCharType="end" w:fldLock="0"/>
    </w:r>
    <w:r>
      <w:rPr>
        <w:rFonts w:ascii="Open Sans" w:cs="Open Sans" w:hAnsi="Open Sans" w:eastAsia="Open Sans"/>
        <w:sz w:val="18"/>
        <w:szCs w:val="18"/>
      </w:rPr>
      <w:tab/>
    </w:r>
    <w:r>
      <w:rPr>
        <w:rFonts w:ascii="Open Sans" w:hAnsi="Open Sans"/>
        <w:sz w:val="18"/>
        <w:szCs w:val="18"/>
        <w:rtl w:val="0"/>
        <w:lang w:val="en-US"/>
      </w:rPr>
      <w:t>30/11/2021</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lowerRoman"/>
      <w:suff w:val="tab"/>
      <w:lvlText w:val="%1)"/>
      <w:lvlJc w:val="left"/>
      <w:pPr>
        <w:ind w:left="5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Roman"/>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tabs>
          <w:tab w:val="clear" w:pos="170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Roman"/>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Roman"/>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Roman"/>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56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8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clear" w:pos="1701"/>
        </w:tabs>
        <w:ind w:left="180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2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24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96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68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40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2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List 1"/>
  </w:abstractNum>
  <w:abstractNum w:abstractNumId="5">
    <w:multiLevelType w:val="hybridMultilevel"/>
    <w:styleLink w:val="List 1"/>
    <w:lvl w:ilvl="0">
      <w:start w:val="1"/>
      <w:numFmt w:val="decimal"/>
      <w:suff w:val="tab"/>
      <w:lvlText w:val="%1."/>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5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7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5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23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95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6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3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1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multiLevelType w:val="hybridMultilevel"/>
    <w:numStyleLink w:val="List 2"/>
  </w:abstractNum>
  <w:abstractNum w:abstractNumId="7">
    <w:multiLevelType w:val="hybridMultilevel"/>
    <w:styleLink w:val="List 2"/>
    <w:lvl w:ilvl="0">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714"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7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5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23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95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6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3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1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multiLevelType w:val="hybridMultilevel"/>
    <w:numStyleLink w:val="List 3"/>
  </w:abstractNum>
  <w:abstractNum w:abstractNumId="9">
    <w:multiLevelType w:val="hybridMultilevel"/>
    <w:styleLink w:val="List 3"/>
    <w:lvl w:ilvl="0">
      <w:start w:val="1"/>
      <w:numFmt w:val="decimal"/>
      <w:suff w:val="tab"/>
      <w:lvlText w:val="%1."/>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5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7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5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23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95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6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3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1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multiLevelType w:val="hybridMultilevel"/>
    <w:numStyleLink w:val="List 4"/>
  </w:abstractNum>
  <w:abstractNum w:abstractNumId="11">
    <w:multiLevelType w:val="hybridMultilevel"/>
    <w:styleLink w:val="List 4"/>
    <w:lvl w:ilvl="0">
      <w:start w:val="1"/>
      <w:numFmt w:val="lowerRoman"/>
      <w:suff w:val="tab"/>
      <w:lvlText w:val="%1."/>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2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1">
      <w:start w:val="1"/>
      <w:numFmt w:val="lowerRoman"/>
      <w:suff w:val="tab"/>
      <w:lvlText w:val="%2."/>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14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2">
      <w:start w:val="1"/>
      <w:numFmt w:val="lowerRoman"/>
      <w:suff w:val="tab"/>
      <w:lvlText w:val="%3."/>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86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3">
      <w:start w:val="1"/>
      <w:numFmt w:val="lowerRoman"/>
      <w:suff w:val="tab"/>
      <w:lvlText w:val="%4."/>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58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4">
      <w:start w:val="1"/>
      <w:numFmt w:val="lowerRoman"/>
      <w:suff w:val="tab"/>
      <w:lvlText w:val="%5."/>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30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5">
      <w:start w:val="1"/>
      <w:numFmt w:val="lowerRoman"/>
      <w:suff w:val="tab"/>
      <w:lvlText w:val="%6."/>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02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6">
      <w:start w:val="1"/>
      <w:numFmt w:val="lowerRoman"/>
      <w:suff w:val="tab"/>
      <w:lvlText w:val="%7."/>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74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7">
      <w:start w:val="1"/>
      <w:numFmt w:val="lowerRoman"/>
      <w:suff w:val="tab"/>
      <w:lvlText w:val="%8."/>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46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8">
      <w:start w:val="1"/>
      <w:numFmt w:val="lowerRoman"/>
      <w:suff w:val="tab"/>
      <w:lvlText w:val="%9."/>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18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bullet"/>
        <w:suff w:val="tab"/>
        <w:lvlText w:val="•"/>
        <w:lvlJc w:val="left"/>
        <w:pPr>
          <w:ind w:left="56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bullet"/>
        <w:suff w:val="tab"/>
        <w:lvlText w:val="•"/>
        <w:lvlJc w:val="left"/>
        <w:pPr>
          <w:ind w:left="108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bullet"/>
        <w:suff w:val="tab"/>
        <w:lvlText w:val="•"/>
        <w:lvlJc w:val="left"/>
        <w:pPr>
          <w:tabs>
            <w:tab w:val="clear" w:pos="1701"/>
          </w:tabs>
          <w:ind w:left="180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bullet"/>
        <w:suff w:val="tab"/>
        <w:lvlText w:val="•"/>
        <w:lvlJc w:val="left"/>
        <w:pPr>
          <w:ind w:left="252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bullet"/>
        <w:suff w:val="tab"/>
        <w:lvlText w:val="•"/>
        <w:lvlJc w:val="left"/>
        <w:pPr>
          <w:ind w:left="324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bullet"/>
        <w:suff w:val="tab"/>
        <w:lvlText w:val="•"/>
        <w:lvlJc w:val="left"/>
        <w:pPr>
          <w:ind w:left="396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bullet"/>
        <w:suff w:val="tab"/>
        <w:lvlText w:val="•"/>
        <w:lvlJc w:val="left"/>
        <w:pPr>
          <w:ind w:left="468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bullet"/>
        <w:suff w:val="tab"/>
        <w:lvlText w:val="•"/>
        <w:lvlJc w:val="left"/>
        <w:pPr>
          <w:ind w:left="540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bullet"/>
        <w:suff w:val="tab"/>
        <w:lvlText w:val="•"/>
        <w:lvlJc w:val="left"/>
        <w:pPr>
          <w:ind w:left="612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
    <w:abstractNumId w:val="0"/>
    <w:lvlOverride w:ilvl="0">
      <w:startOverride w:val="1"/>
      <w:lvl w:ilvl="0">
        <w:start w:val="1"/>
        <w:numFmt w:val="decimal"/>
        <w:suff w:val="tab"/>
        <w:lvlText w:val="%1."/>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106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178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250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322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39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466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538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6100" w:hanging="3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5"/>
  </w:num>
  <w:num w:numId="8">
    <w:abstractNumId w:val="4"/>
  </w:num>
  <w:num w:numId="9">
    <w:abstractNumId w:val="7"/>
  </w:num>
  <w:num w:numId="10">
    <w:abstractNumId w:val="6"/>
  </w:num>
  <w:num w:numId="11">
    <w:abstractNumId w:val="9"/>
  </w:num>
  <w:num w:numId="12">
    <w:abstractNumId w:val="8"/>
  </w:num>
  <w:num w:numId="13">
    <w:abstractNumId w:val="8"/>
    <w:lvlOverride w:ilvl="0">
      <w:startOverride w:val="4"/>
    </w:lvlOverride>
  </w:num>
  <w:num w:numId="14">
    <w:abstractNumId w:val="11"/>
  </w:num>
  <w:num w:numId="15">
    <w:abstractNumId w:val="1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vertAlign w:val="baseline"/>
      <w14:textOutline w14:w="12700" w14:cap="flat">
        <w14:noFill/>
        <w14:miter w14:lim="400000"/>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tabs>
        <w:tab w:val="left" w:pos="1701"/>
      </w:tabs>
      <w:suppressAutoHyphens w:val="0"/>
      <w:bidi w:val="0"/>
      <w:spacing w:before="0" w:after="0" w:line="360" w:lineRule="auto"/>
      <w:ind w:left="0" w:right="0" w:firstLine="0"/>
      <w:jc w:val="left"/>
      <w:outlineLvl w:val="9"/>
    </w:pPr>
    <w:rPr>
      <w:rFonts w:ascii="Open Sans" w:cs="Arial Unicode MS" w:hAnsi="Open Sans" w:eastAsia="Arial Unicode MS"/>
      <w:b w:val="1"/>
      <w:bCs w:val="1"/>
      <w:i w:val="0"/>
      <w:iCs w:val="0"/>
      <w:caps w:val="0"/>
      <w:smallCaps w:val="0"/>
      <w:strike w:val="0"/>
      <w:dstrike w:val="0"/>
      <w:outline w:val="0"/>
      <w:color w:val="d82042"/>
      <w:spacing w:val="0"/>
      <w:kern w:val="0"/>
      <w:position w:val="0"/>
      <w:sz w:val="28"/>
      <w:szCs w:val="28"/>
      <w:u w:val="none" w:color="d82042"/>
      <w:vertAlign w:val="baseline"/>
      <w:lang w:val="en-US"/>
      <w14:textOutline w14:w="12700" w14:cap="flat">
        <w14:noFill/>
        <w14:miter w14:lim="400000"/>
      </w14:textOutline>
      <w14:textFill>
        <w14:solidFill>
          <w14:srgbClr w14:val="D82042"/>
        </w14:solidFill>
      </w14:textFill>
    </w:rPr>
  </w:style>
  <w:style w:type="character" w:styleId="None">
    <w:name w:val="None"/>
  </w:style>
  <w:style w:type="character" w:styleId="Hyperlink.0">
    <w:name w:val="Hyperlink.0"/>
    <w:basedOn w:val="None"/>
    <w:next w:val="Hyperlink.0"/>
    <w:rPr>
      <w:rFonts w:ascii="Open Sans" w:cs="Open Sans" w:hAnsi="Open Sans" w:eastAsia="Open Sans"/>
      <w:outline w:val="0"/>
      <w:color w:val="011993"/>
      <w:sz w:val="24"/>
      <w:szCs w:val="24"/>
      <w:u w:val="single" w:color="011993"/>
      <w14:textFill>
        <w14:solidFill>
          <w14:srgbClr w14:val="011993"/>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vertAlign w:val="baseline"/>
      <w14:textOutline w14:w="12700" w14:cap="flat">
        <w14:noFill/>
        <w14:miter w14:lim="400000"/>
      </w14:textOutline>
      <w14:textFill>
        <w14:solidFill>
          <w14:srgbClr w14:val="000000"/>
        </w14:solidFill>
      </w14:textFill>
    </w:rPr>
  </w:style>
  <w:style w:type="numbering" w:styleId="List 1">
    <w:name w:val="List 1"/>
    <w:pPr>
      <w:numPr>
        <w:numId w:val="7"/>
      </w:numPr>
    </w:pPr>
  </w:style>
  <w:style w:type="numbering" w:styleId="List 2">
    <w:name w:val="List 2"/>
    <w:pPr>
      <w:numPr>
        <w:numId w:val="9"/>
      </w:numPr>
    </w:pPr>
  </w:style>
  <w:style w:type="numbering" w:styleId="List 3">
    <w:name w:val="List 3"/>
    <w:pPr>
      <w:numPr>
        <w:numId w:val="11"/>
      </w:numPr>
    </w:pPr>
  </w:style>
  <w:style w:type="numbering" w:styleId="List 4">
    <w:name w:val="List 4"/>
    <w:pPr>
      <w:numPr>
        <w:numId w:val="14"/>
      </w:numPr>
    </w:pPr>
  </w:style>
  <w:style w:type="character" w:styleId="Hyperlink.1">
    <w:name w:val="Hyperlink.1"/>
    <w:basedOn w:val="None"/>
    <w:next w:val="Hyperlink.1"/>
    <w:rPr>
      <w:outline w:val="0"/>
      <w:color w:val="000099"/>
      <w:u w:val="single" w:color="000099"/>
      <w:lang w:val="en-US"/>
      <w14:textFill>
        <w14:solidFill>
          <w14:srgbClr w14:val="000099"/>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