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spacing w:line="360" w:lineRule="auto"/>
        <w:rPr>
          <w:rFonts w:ascii="Open Sans" w:cs="Open Sans" w:hAnsi="Open Sans" w:eastAsia="Open Sans"/>
          <w:b w:val="1"/>
          <w:bCs w:val="1"/>
          <w:sz w:val="28"/>
          <w:szCs w:val="28"/>
          <w:lang w:val="en-US"/>
        </w:rPr>
      </w:pPr>
      <w:r>
        <w:rPr>
          <w:rFonts w:ascii="Open Sans" w:hAnsi="Open Sans"/>
          <w:b w:val="1"/>
          <w:bCs w:val="1"/>
          <w:sz w:val="28"/>
          <w:szCs w:val="28"/>
          <w:rtl w:val="0"/>
          <w:lang w:val="en-US"/>
        </w:rPr>
        <w:t>Using brief Participant Information Leaflets (PILs) in trials</w:t>
      </w:r>
      <w:r>
        <w:rPr>
          <w:rFonts w:ascii="Open Sans" w:hAnsi="Open Sans"/>
          <w:b w:val="1"/>
          <w:bCs w:val="1"/>
          <w:sz w:val="28"/>
          <w:szCs w:val="28"/>
          <w:rtl w:val="0"/>
          <w:lang w:val="en-US"/>
        </w:rPr>
        <w:t xml:space="preserve"> </w:t>
      </w:r>
      <w:r>
        <w:rPr>
          <w:rFonts w:ascii="Open Sans" w:hAnsi="Open Sans"/>
          <w:b w:val="1"/>
          <w:bCs w:val="1"/>
          <w:sz w:val="28"/>
          <w:szCs w:val="28"/>
          <w:rtl w:val="0"/>
          <w:lang w:val="en-US"/>
        </w:rPr>
        <w:t>to support recruitment</w:t>
      </w:r>
    </w:p>
    <w:p>
      <w:pPr>
        <w:pStyle w:val="Body A"/>
        <w:suppressAutoHyphens w:val="1"/>
        <w:spacing w:line="360" w:lineRule="auto"/>
        <w:rPr>
          <w:rFonts w:ascii="Open Sans" w:cs="Open Sans" w:hAnsi="Open Sans" w:eastAsia="Open Sans"/>
          <w:lang w:val="en-US"/>
        </w:rPr>
      </w:pPr>
      <w:r>
        <w:rPr>
          <w:rFonts w:ascii="Open Sans" w:hAnsi="Open Sans"/>
          <w:rtl w:val="0"/>
          <w:lang w:val="en-US"/>
        </w:rPr>
        <w:t>Use of brief PILs to support trial recruitment is probably quite common although the evidence to suggest that they improve recruitment is rather thin. The basic idea is that a) long PILs can be overwhelming and b) not everything on a full PIL is considered equally important by participants.  There is certainly evidence in support of the latter; Innes and colleagues found that potential participants were most interested in side effects of treatment, the disadvantages and risks of taking part, and knowing what a trial entails, with information about e.g. who funded the study and insurance being ranked much lower</w:t>
      </w:r>
      <w:r>
        <w:rPr>
          <w:rFonts w:ascii="Open Sans" w:hAnsi="Open Sans"/>
          <w:vertAlign w:val="superscript"/>
          <w:rtl w:val="0"/>
          <w:lang w:val="en-US"/>
        </w:rPr>
        <w:t>1</w:t>
      </w:r>
      <w:r>
        <w:rPr>
          <w:rFonts w:ascii="Open Sans" w:hAnsi="Open Sans"/>
          <w:rtl w:val="0"/>
          <w:lang w:val="en-US"/>
        </w:rPr>
        <w:t xml:space="preserve">. Initial invitations to take part could provide brief information with full information also being available for those who want it, either by being provided at the same time, or perhaps later (e.g. during the formal consent process).   </w:t>
      </w:r>
    </w:p>
    <w:p>
      <w:pPr>
        <w:pStyle w:val="Body A"/>
        <w:suppressAutoHyphens w:val="1"/>
        <w:spacing w:line="360" w:lineRule="auto"/>
        <w:rPr>
          <w:rFonts w:ascii="Open Sans" w:cs="Open Sans" w:hAnsi="Open Sans" w:eastAsia="Open Sans"/>
          <w:lang w:val="en-US"/>
        </w:rPr>
      </w:pPr>
    </w:p>
    <w:p>
      <w:pPr>
        <w:pStyle w:val="Body A"/>
        <w:suppressAutoHyphens w:val="1"/>
        <w:spacing w:line="360" w:lineRule="auto"/>
        <w:rPr>
          <w:rFonts w:ascii="Open Sans" w:cs="Open Sans" w:hAnsi="Open Sans" w:eastAsia="Open Sans"/>
          <w:lang w:val="en-US"/>
        </w:rPr>
      </w:pPr>
      <w:r>
        <w:rPr>
          <w:rFonts w:ascii="Open Sans" w:hAnsi="Open Sans"/>
          <w:rtl w:val="0"/>
          <w:lang w:val="en-US"/>
        </w:rPr>
        <w:t>The current evidence</w:t>
      </w:r>
      <w:r>
        <w:rPr>
          <w:rFonts w:ascii="Open Sans" w:hAnsi="Open Sans"/>
          <w:vertAlign w:val="superscript"/>
          <w:rtl w:val="0"/>
          <w:lang w:val="en-US"/>
        </w:rPr>
        <w:t>2</w:t>
      </w:r>
      <w:r>
        <w:rPr>
          <w:rFonts w:ascii="Open Sans" w:hAnsi="Open Sans"/>
          <w:rtl w:val="0"/>
          <w:lang w:val="en-US"/>
        </w:rPr>
        <w:t xml:space="preserve"> shows that brief PILs make little or no difference to </w:t>
      </w:r>
      <w:r>
        <w:rPr>
          <w:rFonts w:ascii="Open Sans" w:hAnsi="Open Sans"/>
          <w:rtl w:val="0"/>
          <w:lang w:val="en-US"/>
        </w:rPr>
        <w:t>recruitment</w:t>
      </w:r>
      <w:r>
        <w:rPr>
          <w:rFonts w:ascii="Open Sans" w:hAnsi="Open Sans"/>
          <w:rtl w:val="0"/>
          <w:lang w:val="en-US"/>
        </w:rPr>
        <w:t>, with the best estimate of effect being a 0.2% increase in recruitment (95% confidence interval = -2% to +2%). (NB: the Cochrane review actually gives 0% but this is due to rounding, it is actually 0.2%.  Small but not actually zero). This research included two studies, which:</w:t>
      </w:r>
    </w:p>
    <w:p>
      <w:pPr>
        <w:pStyle w:val="Body A"/>
        <w:suppressAutoHyphens w:val="1"/>
        <w:spacing w:line="360" w:lineRule="auto"/>
        <w:rPr>
          <w:rFonts w:ascii="Open Sans" w:cs="Open Sans" w:hAnsi="Open Sans" w:eastAsia="Open Sans"/>
          <w:lang w:val="en-US"/>
        </w:rPr>
      </w:pPr>
    </w:p>
    <w:p>
      <w:pPr>
        <w:pStyle w:val="Body A"/>
        <w:numPr>
          <w:ilvl w:val="0"/>
          <w:numId w:val="1"/>
        </w:numPr>
        <w:suppressAutoHyphens w:val="1"/>
        <w:spacing w:line="360" w:lineRule="auto"/>
        <w:rPr>
          <w:rFonts w:ascii="Open Sans" w:hAnsi="Open Sans"/>
          <w:lang w:val="en-US"/>
        </w:rPr>
      </w:pPr>
      <w:r>
        <w:rPr>
          <w:rFonts w:ascii="Open Sans" w:hAnsi="Open Sans"/>
          <w:rtl w:val="0"/>
          <w:lang w:val="en-US"/>
        </w:rPr>
        <w:t>Sent a brief glossy leaflet (4-pages) along with the invitation letter.  Individuals interested in participation got in touch with the study team and all would then get the full  PIL as part of consent procedures. The full PIL was 8-pages (UK study)</w:t>
      </w:r>
      <w:r>
        <w:rPr>
          <w:rFonts w:ascii="Open Sans" w:hAnsi="Open Sans"/>
          <w:vertAlign w:val="superscript"/>
          <w:rtl w:val="0"/>
          <w:lang w:val="en-US"/>
        </w:rPr>
        <w:t>3</w:t>
      </w:r>
      <w:r>
        <w:rPr>
          <w:rFonts w:ascii="Open Sans" w:hAnsi="Open Sans"/>
          <w:rtl w:val="0"/>
          <w:lang w:val="en-US"/>
        </w:rPr>
        <w:t>.</w:t>
      </w:r>
    </w:p>
    <w:p>
      <w:pPr>
        <w:pStyle w:val="Body A"/>
        <w:numPr>
          <w:ilvl w:val="0"/>
          <w:numId w:val="1"/>
        </w:numPr>
        <w:suppressAutoHyphens w:val="1"/>
        <w:spacing w:line="360" w:lineRule="auto"/>
        <w:rPr>
          <w:rFonts w:ascii="Open Sans" w:hAnsi="Open Sans"/>
          <w:lang w:val="en-US"/>
        </w:rPr>
      </w:pPr>
      <w:r>
        <w:rPr>
          <w:rFonts w:ascii="Open Sans" w:hAnsi="Open Sans"/>
          <w:rtl w:val="0"/>
          <w:lang w:val="en-US"/>
        </w:rPr>
        <w:t xml:space="preserve">Sent a </w:t>
      </w:r>
      <w:r>
        <w:rPr>
          <w:rFonts w:ascii="Open Sans" w:hAnsi="Open Sans"/>
          <w:rtl w:val="0"/>
          <w:lang w:val="en-US"/>
        </w:rPr>
        <w:t>1</w:t>
      </w:r>
      <w:r>
        <w:rPr>
          <w:rFonts w:ascii="Open Sans" w:hAnsi="Open Sans"/>
          <w:rtl w:val="0"/>
          <w:lang w:val="en-US"/>
        </w:rPr>
        <w:t>-page</w:t>
      </w:r>
      <w:r>
        <w:rPr>
          <w:rFonts w:ascii="Open Sans" w:hAnsi="Open Sans"/>
          <w:rtl w:val="0"/>
          <w:lang w:val="en-US"/>
        </w:rPr>
        <w:t xml:space="preserve"> summary</w:t>
      </w:r>
      <w:r>
        <w:rPr>
          <w:rFonts w:ascii="Open Sans" w:hAnsi="Open Sans"/>
          <w:rtl w:val="0"/>
          <w:lang w:val="en-US"/>
        </w:rPr>
        <w:t xml:space="preserve"> along with the invitation letter</w:t>
      </w:r>
      <w:r>
        <w:rPr>
          <w:rFonts w:ascii="Open Sans" w:hAnsi="Open Sans"/>
          <w:rtl w:val="0"/>
          <w:lang w:val="en-US"/>
        </w:rPr>
        <w:t xml:space="preserve"> rather than the 12-page full PIL.  This study measured the effect on recruitment to the trial run-in stage rather than the trial itself </w:t>
      </w:r>
      <w:r>
        <w:rPr>
          <w:rFonts w:ascii="Open Sans" w:hAnsi="Open Sans"/>
          <w:rtl w:val="0"/>
          <w:lang w:val="en-US"/>
        </w:rPr>
        <w:t>(UK study)</w:t>
      </w:r>
      <w:r>
        <w:rPr>
          <w:rFonts w:ascii="Open Sans" w:hAnsi="Open Sans"/>
          <w:vertAlign w:val="superscript"/>
          <w:rtl w:val="0"/>
          <w:lang w:val="en-US"/>
        </w:rPr>
        <w:t>4</w:t>
      </w:r>
      <w:r>
        <w:rPr>
          <w:rFonts w:ascii="Open Sans" w:hAnsi="Open Sans"/>
          <w:rtl w:val="0"/>
          <w:lang w:val="en-US"/>
        </w:rPr>
        <w:t>.</w:t>
      </w:r>
    </w:p>
    <w:p>
      <w:pPr>
        <w:pStyle w:val="Body A"/>
        <w:suppressAutoHyphens w:val="1"/>
        <w:spacing w:line="360" w:lineRule="auto"/>
        <w:rPr>
          <w:rFonts w:ascii="Open Sans" w:cs="Open Sans" w:hAnsi="Open Sans" w:eastAsia="Open Sans"/>
          <w:lang w:val="en-US"/>
        </w:rPr>
      </w:pPr>
    </w:p>
    <w:p>
      <w:pPr>
        <w:pStyle w:val="Body A"/>
        <w:suppressAutoHyphens w:val="1"/>
        <w:spacing w:line="360" w:lineRule="auto"/>
        <w:rPr>
          <w:rFonts w:ascii="Open Sans" w:cs="Open Sans" w:hAnsi="Open Sans" w:eastAsia="Open Sans"/>
          <w:lang w:val="en-US"/>
        </w:rPr>
      </w:pPr>
      <w:r>
        <w:rPr>
          <w:rFonts w:ascii="Open Sans" w:hAnsi="Open Sans"/>
          <w:rtl w:val="0"/>
          <w:lang w:val="en-US"/>
        </w:rPr>
        <w:t>In its 2019 guidance on consent and participant information (</w:t>
      </w:r>
      <w:r>
        <w:rPr>
          <w:rStyle w:val="Hyperlink.0"/>
          <w:rFonts w:ascii="Open Sans" w:cs="Open Sans" w:hAnsi="Open Sans" w:eastAsia="Open Sans"/>
          <w:lang w:val="en-US"/>
        </w:rPr>
        <w:fldChar w:fldCharType="begin" w:fldLock="0"/>
      </w:r>
      <w:r>
        <w:rPr>
          <w:rStyle w:val="Hyperlink.0"/>
          <w:rFonts w:ascii="Open Sans" w:cs="Open Sans" w:hAnsi="Open Sans" w:eastAsia="Open Sans"/>
          <w:lang w:val="en-US"/>
        </w:rPr>
        <w:instrText xml:space="preserve"> HYPERLINK "https://s3.eu-west-2.amazonaws.com/www.hra.nhs.uk/media/documents/Proportionate_approach_to_seeking_consent_HRA_Guidance.pdf"</w:instrText>
      </w:r>
      <w:r>
        <w:rPr>
          <w:rStyle w:val="Hyperlink.0"/>
          <w:rFonts w:ascii="Open Sans" w:cs="Open Sans" w:hAnsi="Open Sans" w:eastAsia="Open Sans"/>
          <w:lang w:val="en-US"/>
        </w:rPr>
        <w:fldChar w:fldCharType="separate" w:fldLock="0"/>
      </w:r>
      <w:r>
        <w:rPr>
          <w:rStyle w:val="Hyperlink.0"/>
          <w:rFonts w:ascii="Open Sans" w:hAnsi="Open Sans"/>
          <w:rtl w:val="0"/>
          <w:lang w:val="en-US"/>
        </w:rPr>
        <w:t>https://s3.eu-west-2.amazonaws.com/www.hra.nhs.uk/media/documents/Proportionate_approach_to_seeking_consent_HRA_Guidance.pdf</w:t>
      </w:r>
      <w:r>
        <w:rPr>
          <w:rFonts w:ascii="Open Sans" w:cs="Open Sans" w:hAnsi="Open Sans" w:eastAsia="Open Sans"/>
          <w:lang w:val="en-US"/>
        </w:rPr>
        <w:fldChar w:fldCharType="end" w:fldLock="0"/>
      </w:r>
      <w:r>
        <w:rPr>
          <w:rFonts w:ascii="Open Sans" w:hAnsi="Open Sans"/>
          <w:rtl w:val="0"/>
          <w:lang w:val="en-US"/>
        </w:rPr>
        <w:t>), the UK</w:t>
      </w:r>
      <w:r>
        <w:rPr>
          <w:rFonts w:ascii="Open Sans" w:hAnsi="Open Sans" w:hint="default"/>
          <w:rtl w:val="0"/>
          <w:lang w:val="en-US"/>
        </w:rPr>
        <w:t>’</w:t>
      </w:r>
      <w:r>
        <w:rPr>
          <w:rFonts w:ascii="Open Sans" w:hAnsi="Open Sans"/>
          <w:rtl w:val="0"/>
          <w:lang w:val="en-US"/>
        </w:rPr>
        <w:t xml:space="preserve">s Health Research Authority supported the idea of </w:t>
      </w:r>
      <w:r>
        <w:rPr>
          <w:rFonts w:ascii="Open Sans" w:hAnsi="Open Sans" w:hint="default"/>
          <w:rtl w:val="0"/>
          <w:lang w:val="en-US"/>
        </w:rPr>
        <w:t>‘</w:t>
      </w:r>
      <w:r>
        <w:rPr>
          <w:rFonts w:ascii="Open Sans" w:hAnsi="Open Sans"/>
          <w:rtl w:val="0"/>
          <w:lang w:val="en-US"/>
        </w:rPr>
        <w:t>layered</w:t>
      </w:r>
      <w:r>
        <w:rPr>
          <w:rFonts w:ascii="Open Sans" w:hAnsi="Open Sans" w:hint="default"/>
          <w:rtl w:val="0"/>
          <w:lang w:val="en-US"/>
        </w:rPr>
        <w:t xml:space="preserve">’  </w:t>
      </w:r>
      <w:r>
        <w:rPr>
          <w:rFonts w:ascii="Open Sans" w:hAnsi="Open Sans"/>
          <w:rtl w:val="0"/>
          <w:lang w:val="en-US"/>
        </w:rPr>
        <w:t xml:space="preserve">information provision to avoid overwhelming potential participants.  This supports the idea of brief PILs although it does not, of course, make any claims for whether this improve recruitment or not.  </w:t>
      </w:r>
    </w:p>
    <w:p>
      <w:pPr>
        <w:pStyle w:val="Body A"/>
        <w:suppressAutoHyphens w:val="1"/>
        <w:spacing w:line="360" w:lineRule="auto"/>
        <w:rPr>
          <w:rFonts w:ascii="Open Sans" w:cs="Open Sans" w:hAnsi="Open Sans" w:eastAsia="Open Sans"/>
          <w:lang w:val="en-US"/>
        </w:rPr>
      </w:pPr>
    </w:p>
    <w:p>
      <w:pPr>
        <w:pStyle w:val="Body A"/>
        <w:suppressAutoHyphens w:val="1"/>
        <w:spacing w:line="360" w:lineRule="auto"/>
        <w:rPr>
          <w:rFonts w:ascii="Open Sans" w:cs="Open Sans" w:hAnsi="Open Sans" w:eastAsia="Open Sans"/>
          <w:lang w:val="en-US"/>
        </w:rPr>
      </w:pPr>
      <w:r>
        <w:rPr>
          <w:rFonts w:ascii="Open Sans" w:hAnsi="Open Sans"/>
          <w:rtl w:val="0"/>
          <w:lang w:val="en-US"/>
        </w:rPr>
        <w:t>In our experience, the key issue regarding brief PILs is deciding what is what goes in the brief PIL and what gets cut.  There is some published work that can help</w:t>
      </w:r>
      <w:r>
        <w:rPr>
          <w:rFonts w:ascii="Open Sans" w:hAnsi="Open Sans"/>
          <w:vertAlign w:val="superscript"/>
          <w:rtl w:val="0"/>
          <w:lang w:val="en-US"/>
        </w:rPr>
        <w:t xml:space="preserve">1,5 </w:t>
      </w:r>
      <w:r>
        <w:rPr>
          <w:rFonts w:ascii="Open Sans" w:hAnsi="Open Sans"/>
          <w:rtl w:val="0"/>
          <w:lang w:val="en-US"/>
        </w:rPr>
        <w:t xml:space="preserve">but for a given trial it is highly likely that the research team will need to ask people like the people the trial aims to recruit what they would most like to know on a short PIL.  The full PIL will also have to be available in some form so that those who want more information can get it.   </w:t>
      </w:r>
    </w:p>
    <w:p>
      <w:pPr>
        <w:pStyle w:val="Body A"/>
        <w:suppressAutoHyphens w:val="1"/>
        <w:spacing w:line="360" w:lineRule="auto"/>
        <w:rPr>
          <w:rFonts w:ascii="Open Sans" w:cs="Open Sans" w:hAnsi="Open Sans" w:eastAsia="Open Sans"/>
          <w:lang w:val="en-US"/>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spacing w:line="360" w:lineRule="auto"/>
        <w:rPr>
          <w:rFonts w:ascii="Open Sans" w:cs="Open Sans" w:hAnsi="Open Sans" w:eastAsia="Open Sans"/>
          <w:sz w:val="22"/>
          <w:szCs w:val="22"/>
          <w:lang w:val="en-US"/>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spacing w:line="360" w:lineRule="auto"/>
        <w:rPr>
          <w:rFonts w:ascii="Open Sans" w:cs="Open Sans" w:hAnsi="Open Sans" w:eastAsia="Open Sans"/>
          <w:b w:val="1"/>
          <w:bCs w:val="1"/>
          <w:sz w:val="22"/>
          <w:szCs w:val="22"/>
          <w:lang w:val="en-US"/>
        </w:rPr>
      </w:pPr>
      <w:r>
        <w:rPr>
          <w:rFonts w:ascii="Open Sans" w:hAnsi="Open Sans"/>
          <w:b w:val="1"/>
          <w:bCs w:val="1"/>
          <w:sz w:val="22"/>
          <w:szCs w:val="22"/>
          <w:rtl w:val="0"/>
          <w:lang w:val="en-US"/>
        </w:rPr>
        <w:t>References</w:t>
      </w:r>
    </w:p>
    <w:p>
      <w:pPr>
        <w:pStyle w:val="Body A"/>
        <w:numPr>
          <w:ilvl w:val="0"/>
          <w:numId w:val="3"/>
        </w:numPr>
        <w:suppressAutoHyphens w:val="1"/>
        <w:bidi w:val="0"/>
        <w:spacing w:line="360" w:lineRule="auto"/>
        <w:ind w:right="0"/>
        <w:jc w:val="left"/>
        <w:rPr>
          <w:rFonts w:ascii="Open Sans" w:hAnsi="Open Sans"/>
          <w:sz w:val="18"/>
          <w:szCs w:val="18"/>
          <w:rtl w:val="0"/>
          <w:lang w:val="en-US"/>
        </w:rPr>
      </w:pPr>
      <w:r>
        <w:rPr>
          <w:rFonts w:ascii="Open Sans" w:hAnsi="Open Sans"/>
          <w:sz w:val="18"/>
          <w:szCs w:val="18"/>
          <w:rtl w:val="0"/>
          <w:lang w:val="en-US"/>
        </w:rPr>
        <w:t>Innes</w:t>
      </w:r>
      <w:r>
        <w:rPr>
          <w:rFonts w:ascii="Open Sans" w:hAnsi="Open Sans" w:hint="default"/>
          <w:sz w:val="18"/>
          <w:szCs w:val="18"/>
          <w:rtl w:val="0"/>
          <w:lang w:val="en-US"/>
        </w:rPr>
        <w:t> </w:t>
      </w:r>
      <w:r>
        <w:rPr>
          <w:rFonts w:ascii="Open Sans" w:hAnsi="Open Sans"/>
          <w:sz w:val="18"/>
          <w:szCs w:val="18"/>
          <w:rtl w:val="0"/>
          <w:lang w:val="en-US"/>
        </w:rPr>
        <w:t>K,</w:t>
      </w:r>
      <w:r>
        <w:rPr>
          <w:rFonts w:ascii="Open Sans" w:hAnsi="Open Sans" w:hint="default"/>
          <w:sz w:val="18"/>
          <w:szCs w:val="18"/>
          <w:rtl w:val="0"/>
          <w:lang w:val="en-US"/>
        </w:rPr>
        <w:t> </w:t>
      </w:r>
      <w:r>
        <w:rPr>
          <w:rFonts w:ascii="Open Sans" w:hAnsi="Open Sans"/>
          <w:sz w:val="18"/>
          <w:szCs w:val="18"/>
          <w:rtl w:val="0"/>
          <w:lang w:val="en-US"/>
        </w:rPr>
        <w:t>Cotton</w:t>
      </w:r>
      <w:r>
        <w:rPr>
          <w:rFonts w:ascii="Open Sans" w:hAnsi="Open Sans" w:hint="default"/>
          <w:sz w:val="18"/>
          <w:szCs w:val="18"/>
          <w:rtl w:val="0"/>
          <w:lang w:val="en-US"/>
        </w:rPr>
        <w:t> </w:t>
      </w:r>
      <w:r>
        <w:rPr>
          <w:rFonts w:ascii="Open Sans" w:hAnsi="Open Sans"/>
          <w:sz w:val="18"/>
          <w:szCs w:val="18"/>
          <w:rtl w:val="0"/>
          <w:lang w:val="en-US"/>
        </w:rPr>
        <w:t>S,</w:t>
      </w:r>
      <w:r>
        <w:rPr>
          <w:rFonts w:ascii="Open Sans" w:hAnsi="Open Sans" w:hint="default"/>
          <w:sz w:val="18"/>
          <w:szCs w:val="18"/>
          <w:rtl w:val="0"/>
          <w:lang w:val="en-US"/>
        </w:rPr>
        <w:t> </w:t>
      </w:r>
      <w:r>
        <w:rPr>
          <w:rFonts w:ascii="Open Sans" w:hAnsi="Open Sans"/>
          <w:sz w:val="18"/>
          <w:szCs w:val="18"/>
          <w:rtl w:val="0"/>
          <w:lang w:val="en-US"/>
        </w:rPr>
        <w:t>Campbell</w:t>
      </w:r>
      <w:r>
        <w:rPr>
          <w:rFonts w:ascii="Open Sans" w:hAnsi="Open Sans" w:hint="default"/>
          <w:sz w:val="18"/>
          <w:szCs w:val="18"/>
          <w:rtl w:val="0"/>
          <w:lang w:val="en-US"/>
        </w:rPr>
        <w:t> </w:t>
      </w:r>
      <w:r>
        <w:rPr>
          <w:rFonts w:ascii="Open Sans" w:hAnsi="Open Sans"/>
          <w:sz w:val="18"/>
          <w:szCs w:val="18"/>
          <w:rtl w:val="0"/>
          <w:lang w:val="en-US"/>
        </w:rPr>
        <w:t>MK, et al Relative importance of informational items in participant information leaflets for trials: a Q-methodology approach. BMJ Open</w:t>
      </w:r>
      <w:r>
        <w:rPr>
          <w:rFonts w:ascii="Open Sans" w:hAnsi="Open Sans" w:hint="default"/>
          <w:sz w:val="18"/>
          <w:szCs w:val="18"/>
          <w:rtl w:val="0"/>
          <w:lang w:val="en-US"/>
        </w:rPr>
        <w:t> </w:t>
      </w:r>
      <w:r>
        <w:rPr>
          <w:rFonts w:ascii="Open Sans" w:hAnsi="Open Sans"/>
          <w:sz w:val="18"/>
          <w:szCs w:val="18"/>
          <w:rtl w:val="0"/>
          <w:lang w:val="en-US"/>
        </w:rPr>
        <w:t>2018;8:e023303.</w:t>
      </w:r>
      <w:r>
        <w:rPr>
          <w:rFonts w:ascii="Open Sans" w:hAnsi="Open Sans" w:hint="default"/>
          <w:sz w:val="18"/>
          <w:szCs w:val="18"/>
          <w:rtl w:val="0"/>
          <w:lang w:val="en-US"/>
        </w:rPr>
        <w:t> </w:t>
      </w:r>
      <w:r>
        <w:rPr>
          <w:rFonts w:ascii="Open Sans" w:hAnsi="Open Sans"/>
          <w:sz w:val="18"/>
          <w:szCs w:val="18"/>
          <w:rtl w:val="0"/>
          <w:lang w:val="en-US"/>
        </w:rPr>
        <w:t>doi:</w:t>
      </w:r>
      <w:r>
        <w:rPr>
          <w:rFonts w:ascii="Open Sans" w:hAnsi="Open Sans" w:hint="default"/>
          <w:sz w:val="18"/>
          <w:szCs w:val="18"/>
          <w:rtl w:val="0"/>
          <w:lang w:val="en-US"/>
        </w:rPr>
        <w:t> </w:t>
      </w:r>
      <w:r>
        <w:rPr>
          <w:rFonts w:ascii="Open Sans" w:hAnsi="Open Sans"/>
          <w:sz w:val="18"/>
          <w:szCs w:val="18"/>
          <w:rtl w:val="0"/>
          <w:lang w:val="en-US"/>
        </w:rPr>
        <w:t>10.1136/bmjopen-2018-023303.</w:t>
      </w:r>
    </w:p>
    <w:p>
      <w:pPr>
        <w:pStyle w:val="Body A"/>
        <w:numPr>
          <w:ilvl w:val="0"/>
          <w:numId w:val="3"/>
        </w:numPr>
        <w:suppressAutoHyphens w:val="1"/>
        <w:bidi w:val="0"/>
        <w:spacing w:line="360" w:lineRule="auto"/>
        <w:ind w:right="0"/>
        <w:jc w:val="left"/>
        <w:rPr>
          <w:rFonts w:ascii="Open Sans" w:hAnsi="Open Sans"/>
          <w:sz w:val="18"/>
          <w:szCs w:val="18"/>
          <w:rtl w:val="0"/>
          <w:lang w:val="en-US"/>
        </w:rPr>
      </w:pPr>
      <w:r>
        <w:rPr>
          <w:rFonts w:ascii="Open Sans" w:hAnsi="Open Sans"/>
          <w:sz w:val="18"/>
          <w:szCs w:val="18"/>
          <w:rtl w:val="0"/>
          <w:lang w:val="en-US"/>
        </w:rPr>
        <w:t>Treweek</w:t>
      </w:r>
      <w:r>
        <w:rPr>
          <w:rFonts w:ascii="Open Sans" w:hAnsi="Open Sans" w:hint="default"/>
          <w:sz w:val="18"/>
          <w:szCs w:val="18"/>
          <w:rtl w:val="0"/>
          <w:lang w:val="en-US"/>
        </w:rPr>
        <w:t>  </w:t>
      </w:r>
      <w:r>
        <w:rPr>
          <w:rFonts w:ascii="Open Sans" w:hAnsi="Open Sans"/>
          <w:sz w:val="18"/>
          <w:szCs w:val="18"/>
          <w:rtl w:val="0"/>
          <w:lang w:val="en-US"/>
        </w:rPr>
        <w:t>S, Pitkethly</w:t>
      </w:r>
      <w:r>
        <w:rPr>
          <w:rFonts w:ascii="Open Sans" w:hAnsi="Open Sans" w:hint="default"/>
          <w:sz w:val="18"/>
          <w:szCs w:val="18"/>
          <w:rtl w:val="0"/>
          <w:lang w:val="en-US"/>
        </w:rPr>
        <w:t>  </w:t>
      </w:r>
      <w:r>
        <w:rPr>
          <w:rFonts w:ascii="Open Sans" w:hAnsi="Open Sans"/>
          <w:sz w:val="18"/>
          <w:szCs w:val="18"/>
          <w:rtl w:val="0"/>
          <w:lang w:val="en-US"/>
        </w:rPr>
        <w:t>M, Cook</w:t>
      </w:r>
      <w:r>
        <w:rPr>
          <w:rFonts w:ascii="Open Sans" w:hAnsi="Open Sans" w:hint="default"/>
          <w:sz w:val="18"/>
          <w:szCs w:val="18"/>
          <w:rtl w:val="0"/>
          <w:lang w:val="en-US"/>
        </w:rPr>
        <w:t>  </w:t>
      </w:r>
      <w:r>
        <w:rPr>
          <w:rFonts w:ascii="Open Sans" w:hAnsi="Open Sans"/>
          <w:sz w:val="18"/>
          <w:szCs w:val="18"/>
          <w:rtl w:val="0"/>
          <w:lang w:val="en-US"/>
        </w:rPr>
        <w:t>J, Fraser</w:t>
      </w:r>
      <w:r>
        <w:rPr>
          <w:rFonts w:ascii="Open Sans" w:hAnsi="Open Sans" w:hint="default"/>
          <w:sz w:val="18"/>
          <w:szCs w:val="18"/>
          <w:rtl w:val="0"/>
          <w:lang w:val="en-US"/>
        </w:rPr>
        <w:t>  </w:t>
      </w:r>
      <w:r>
        <w:rPr>
          <w:rFonts w:ascii="Open Sans" w:hAnsi="Open Sans"/>
          <w:sz w:val="18"/>
          <w:szCs w:val="18"/>
          <w:rtl w:val="0"/>
          <w:lang w:val="en-US"/>
        </w:rPr>
        <w:t>C, Mitchell</w:t>
      </w:r>
      <w:r>
        <w:rPr>
          <w:rFonts w:ascii="Open Sans" w:hAnsi="Open Sans" w:hint="default"/>
          <w:sz w:val="18"/>
          <w:szCs w:val="18"/>
          <w:rtl w:val="0"/>
          <w:lang w:val="en-US"/>
        </w:rPr>
        <w:t>  </w:t>
      </w:r>
      <w:r>
        <w:rPr>
          <w:rFonts w:ascii="Open Sans" w:hAnsi="Open Sans"/>
          <w:sz w:val="18"/>
          <w:szCs w:val="18"/>
          <w:rtl w:val="0"/>
          <w:lang w:val="en-US"/>
        </w:rPr>
        <w:t>E, Sullivan</w:t>
      </w:r>
      <w:r>
        <w:rPr>
          <w:rFonts w:ascii="Open Sans" w:hAnsi="Open Sans" w:hint="default"/>
          <w:sz w:val="18"/>
          <w:szCs w:val="18"/>
          <w:rtl w:val="0"/>
          <w:lang w:val="en-US"/>
        </w:rPr>
        <w:t>  </w:t>
      </w:r>
      <w:r>
        <w:rPr>
          <w:rFonts w:ascii="Open Sans" w:hAnsi="Open Sans"/>
          <w:sz w:val="18"/>
          <w:szCs w:val="18"/>
          <w:rtl w:val="0"/>
          <w:lang w:val="en-US"/>
        </w:rPr>
        <w:t>F, Jackson</w:t>
      </w:r>
      <w:r>
        <w:rPr>
          <w:rFonts w:ascii="Open Sans" w:hAnsi="Open Sans" w:hint="default"/>
          <w:sz w:val="18"/>
          <w:szCs w:val="18"/>
          <w:rtl w:val="0"/>
          <w:lang w:val="en-US"/>
        </w:rPr>
        <w:t>  </w:t>
      </w:r>
      <w:r>
        <w:rPr>
          <w:rFonts w:ascii="Open Sans" w:hAnsi="Open Sans"/>
          <w:sz w:val="18"/>
          <w:szCs w:val="18"/>
          <w:rtl w:val="0"/>
          <w:lang w:val="en-US"/>
        </w:rPr>
        <w:t>C, Taskila</w:t>
      </w:r>
      <w:r>
        <w:rPr>
          <w:rFonts w:ascii="Open Sans" w:hAnsi="Open Sans" w:hint="default"/>
          <w:sz w:val="18"/>
          <w:szCs w:val="18"/>
          <w:rtl w:val="0"/>
          <w:lang w:val="en-US"/>
        </w:rPr>
        <w:t>  </w:t>
      </w:r>
      <w:r>
        <w:rPr>
          <w:rFonts w:ascii="Open Sans" w:hAnsi="Open Sans"/>
          <w:sz w:val="18"/>
          <w:szCs w:val="18"/>
          <w:rtl w:val="0"/>
          <w:lang w:val="en-US"/>
        </w:rPr>
        <w:t>TK, Gardner</w:t>
      </w:r>
      <w:r>
        <w:rPr>
          <w:rFonts w:ascii="Open Sans" w:hAnsi="Open Sans" w:hint="default"/>
          <w:sz w:val="18"/>
          <w:szCs w:val="18"/>
          <w:rtl w:val="0"/>
          <w:lang w:val="en-US"/>
        </w:rPr>
        <w:t>  </w:t>
      </w:r>
      <w:r>
        <w:rPr>
          <w:rFonts w:ascii="Open Sans" w:hAnsi="Open Sans"/>
          <w:sz w:val="18"/>
          <w:szCs w:val="18"/>
          <w:rtl w:val="0"/>
          <w:lang w:val="en-US"/>
        </w:rPr>
        <w:t>H. Strategies to improve recruitment to randomised trials. Cochrane Database of Systematic Reviews 2018, Issue 2. Art. No.: MR000013. DOI: 10.1002/14651858.MR000013.pub6.</w:t>
      </w:r>
    </w:p>
    <w:p>
      <w:pPr>
        <w:pStyle w:val="Body A"/>
        <w:numPr>
          <w:ilvl w:val="0"/>
          <w:numId w:val="3"/>
        </w:numPr>
        <w:suppressAutoHyphens w:val="1"/>
        <w:bidi w:val="0"/>
        <w:spacing w:line="360" w:lineRule="auto"/>
        <w:ind w:right="0"/>
        <w:jc w:val="left"/>
        <w:rPr>
          <w:rFonts w:ascii="Open Sans" w:hAnsi="Open Sans"/>
          <w:sz w:val="18"/>
          <w:szCs w:val="18"/>
          <w:rtl w:val="0"/>
          <w:lang w:val="en-US"/>
        </w:rPr>
      </w:pPr>
      <w:r>
        <w:rPr>
          <w:rFonts w:ascii="Open Sans" w:hAnsi="Open Sans"/>
          <w:sz w:val="18"/>
          <w:szCs w:val="18"/>
          <w:rtl w:val="0"/>
          <w:lang w:val="en-US"/>
        </w:rPr>
        <w:t>Brierley G, Richardson R, Torgerson DJ. Using short information leaflets as recruitment tools did not improve recruitment: a randomized controlled trial. Journal of Clinical Epidemiology 2012;65:147</w:t>
      </w:r>
      <w:r>
        <w:rPr>
          <w:rFonts w:ascii="Open Sans" w:hAnsi="Open Sans" w:hint="default"/>
          <w:sz w:val="18"/>
          <w:szCs w:val="18"/>
          <w:rtl w:val="0"/>
          <w:lang w:val="en-US"/>
        </w:rPr>
        <w:t>–</w:t>
      </w:r>
      <w:r>
        <w:rPr>
          <w:rFonts w:ascii="Open Sans" w:hAnsi="Open Sans"/>
          <w:sz w:val="18"/>
          <w:szCs w:val="18"/>
          <w:rtl w:val="0"/>
          <w:lang w:val="en-US"/>
        </w:rPr>
        <w:t>54. [DOI: 10.1016/ j.jclinepi.2011.06.005</w:t>
      </w:r>
      <w:r>
        <w:rPr>
          <w:rFonts w:ascii="Open Sans" w:hAnsi="Open Sans"/>
          <w:sz w:val="18"/>
          <w:szCs w:val="18"/>
          <w:rtl w:val="0"/>
          <w:lang w:val="en-US"/>
        </w:rPr>
        <w:t>.</w:t>
      </w:r>
    </w:p>
    <w:p>
      <w:pPr>
        <w:pStyle w:val="Body A"/>
        <w:numPr>
          <w:ilvl w:val="0"/>
          <w:numId w:val="3"/>
        </w:numPr>
        <w:suppressAutoHyphens w:val="1"/>
        <w:bidi w:val="0"/>
        <w:spacing w:line="360" w:lineRule="auto"/>
        <w:ind w:right="0"/>
        <w:jc w:val="left"/>
        <w:rPr>
          <w:rFonts w:ascii="Open Sans" w:hAnsi="Open Sans"/>
          <w:sz w:val="18"/>
          <w:szCs w:val="18"/>
          <w:rtl w:val="0"/>
          <w:lang w:val="en-US"/>
        </w:rPr>
      </w:pPr>
      <w:r>
        <w:rPr>
          <w:rFonts w:ascii="Open Sans" w:hAnsi="Open Sans"/>
          <w:sz w:val="18"/>
          <w:szCs w:val="18"/>
          <w:rtl w:val="0"/>
          <w:lang w:val="en-US"/>
        </w:rPr>
        <w:t>Chen et al.: Investigating strategies to improve attendance at screening visits in a randomized trial. Trials 2011 12(Suppl 1):A111</w:t>
      </w:r>
      <w:r>
        <w:rPr>
          <w:rFonts w:ascii="Open Sans" w:hAnsi="Open Sans"/>
          <w:sz w:val="18"/>
          <w:szCs w:val="18"/>
          <w:rtl w:val="0"/>
          <w:lang w:val="en-US"/>
        </w:rPr>
        <w:t>.</w:t>
      </w:r>
      <w:r>
        <w:rPr>
          <w:rFonts w:ascii="Open Sans" w:hAnsi="Open Sans"/>
          <w:sz w:val="18"/>
          <w:szCs w:val="18"/>
          <w:rtl w:val="0"/>
          <w:lang w:val="en-US"/>
        </w:rPr>
        <w:t xml:space="preserve"> </w:t>
      </w:r>
    </w:p>
    <w:p>
      <w:pPr>
        <w:pStyle w:val="Body A"/>
        <w:numPr>
          <w:ilvl w:val="0"/>
          <w:numId w:val="3"/>
        </w:numPr>
        <w:suppressAutoHyphens w:val="1"/>
        <w:bidi w:val="0"/>
        <w:spacing w:line="360" w:lineRule="auto"/>
        <w:ind w:right="0"/>
        <w:jc w:val="left"/>
        <w:rPr>
          <w:rFonts w:ascii="Open Sans" w:hAnsi="Open Sans"/>
          <w:sz w:val="18"/>
          <w:szCs w:val="18"/>
          <w:rtl w:val="0"/>
          <w:lang w:val="en-US"/>
        </w:rPr>
      </w:pPr>
      <w:r>
        <w:rPr>
          <w:rFonts w:ascii="Open Sans" w:hAnsi="Open Sans"/>
          <w:sz w:val="18"/>
          <w:szCs w:val="18"/>
          <w:rtl w:val="0"/>
          <w:lang w:val="en-US"/>
        </w:rPr>
        <w:t xml:space="preserve">Antoniou E, Draper H, Reed K, Burls A, Southwood T et al. (2011) An empirical study on the preferred size of the participant information sheet in research. J Med Ethics; 37: 559-562. </w:t>
      </w:r>
    </w:p>
    <w:sectPr>
      <w:headerReference w:type="default" r:id="rId4"/>
      <w:headerReference w:type="even" r:id="rId5"/>
      <w:footerReference w:type="default" r:id="rId6"/>
      <w:footerReference w:type="even" r:id="rId7"/>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 w:name="Open San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right" w:pos="9612"/>
        <w:tab w:val="clear" w:pos="9632"/>
      </w:tabs>
      <w:jc w:val="center"/>
    </w:pPr>
    <w:r>
      <w:rPr>
        <w:rFonts w:ascii="Open Sans" w:hAnsi="Open Sans"/>
        <w:sz w:val="18"/>
        <w:szCs w:val="18"/>
      </w:rPr>
      <w:fldChar w:fldCharType="begin" w:fldLock="0"/>
    </w:r>
    <w:r>
      <w:rPr>
        <w:rFonts w:ascii="Open Sans" w:hAnsi="Open Sans"/>
        <w:sz w:val="18"/>
        <w:szCs w:val="18"/>
      </w:rPr>
      <w:instrText xml:space="preserve"> PAGE </w:instrText>
    </w:r>
    <w:r>
      <w:rPr>
        <w:rFonts w:ascii="Open Sans" w:hAnsi="Open Sans"/>
        <w:sz w:val="18"/>
        <w:szCs w:val="18"/>
      </w:rPr>
      <w:fldChar w:fldCharType="separate" w:fldLock="0"/>
    </w:r>
    <w:r>
      <w:rPr>
        <w:rFonts w:ascii="Open Sans" w:hAnsi="Open Sans"/>
        <w:sz w:val="18"/>
        <w:szCs w:val="18"/>
      </w:rPr>
      <w:t>1</w:t>
    </w:r>
    <w:r>
      <w:rPr>
        <w:rFonts w:ascii="Open Sans" w:hAnsi="Open Sans"/>
        <w:sz w:val="18"/>
        <w:szCs w:val="18"/>
      </w:rPr>
      <w:fldChar w:fldCharType="end" w:fldLock="0"/>
    </w:r>
    <w:r>
      <w:rPr>
        <w:rFonts w:ascii="Open Sans" w:hAnsi="Open Sans"/>
        <w:sz w:val="18"/>
        <w:szCs w:val="18"/>
        <w:rtl w:val="0"/>
        <w:lang w:val="en-US"/>
      </w:rPr>
      <w:t xml:space="preserve"> of </w:t>
    </w:r>
    <w:r>
      <w:rPr>
        <w:rFonts w:ascii="Open Sans" w:cs="Open Sans" w:hAnsi="Open Sans" w:eastAsia="Open Sans"/>
        <w:sz w:val="18"/>
        <w:szCs w:val="18"/>
      </w:rPr>
      <w:fldChar w:fldCharType="begin" w:fldLock="0"/>
    </w:r>
    <w:r>
      <w:rPr>
        <w:rFonts w:ascii="Open Sans" w:cs="Open Sans" w:hAnsi="Open Sans" w:eastAsia="Open Sans"/>
        <w:sz w:val="18"/>
        <w:szCs w:val="18"/>
      </w:rPr>
      <w:instrText xml:space="preserve"> NUMPAGES </w:instrText>
    </w:r>
    <w:r>
      <w:rPr>
        <w:rFonts w:ascii="Open Sans" w:cs="Open Sans" w:hAnsi="Open Sans" w:eastAsia="Open Sans"/>
        <w:sz w:val="18"/>
        <w:szCs w:val="18"/>
      </w:rPr>
      <w:fldChar w:fldCharType="separate" w:fldLock="0"/>
    </w:r>
    <w:r>
      <w:rPr>
        <w:rFonts w:ascii="Open Sans" w:cs="Open Sans" w:hAnsi="Open Sans" w:eastAsia="Open Sans"/>
        <w:sz w:val="18"/>
        <w:szCs w:val="18"/>
      </w:rPr>
      <w:t>1</w:t>
    </w:r>
    <w:r>
      <w:rPr>
        <w:rFonts w:ascii="Open Sans" w:cs="Open Sans" w:hAnsi="Open Sans" w:eastAsia="Open Sans"/>
        <w:sz w:val="18"/>
        <w:szCs w:val="18"/>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12"/>
        <w:tab w:val="clear" w:pos="9632"/>
      </w:tabs>
      <w:jc w:val="center"/>
    </w:pPr>
    <w:r>
      <w:rPr>
        <w:rFonts w:ascii="Open Sans" w:cs="Open Sans" w:hAnsi="Open Sans" w:eastAsia="Open Sans"/>
        <w:sz w:val="18"/>
        <w:szCs w:val="18"/>
        <w:rtl w:val="0"/>
        <w14:textOutline w14:w="12700" w14:cap="flat">
          <w14:noFill/>
          <w14:miter w14:lim="400000"/>
        </w14:textOutline>
      </w:rPr>
      <w:tab/>
      <w:t xml:space="preserve">                                                                                          </w:t>
    </w:r>
    <w:r>
      <w:rPr>
        <w:rFonts w:ascii="Open Sans" w:hAnsi="Open Sans"/>
        <w:sz w:val="18"/>
        <w:szCs w:val="18"/>
        <w:rtl w:val="0"/>
        <w:lang w:val="en-US"/>
        <w14:textOutline w14:w="12700" w14:cap="flat">
          <w14:noFill/>
          <w14:miter w14:lim="400000"/>
        </w14:textOutline>
      </w:rPr>
      <w:t xml:space="preserve">Page </w:t>
    </w:r>
    <w:r>
      <w:rPr>
        <w:rFonts w:ascii="Open Sans" w:cs="Open Sans" w:hAnsi="Open Sans" w:eastAsia="Open Sans"/>
        <w:sz w:val="18"/>
        <w:szCs w:val="18"/>
        <w14:textOutline w14:w="12700" w14:cap="flat">
          <w14:noFill/>
          <w14:miter w14:lim="400000"/>
        </w14:textOutline>
      </w:rPr>
      <w:fldChar w:fldCharType="begin" w:fldLock="0"/>
    </w:r>
    <w:r>
      <w:rPr>
        <w:rFonts w:ascii="Open Sans" w:cs="Open Sans" w:hAnsi="Open Sans" w:eastAsia="Open Sans"/>
        <w:sz w:val="18"/>
        <w:szCs w:val="18"/>
        <w14:textOutline w14:w="12700" w14:cap="flat">
          <w14:noFill/>
          <w14:miter w14:lim="400000"/>
        </w14:textOutline>
      </w:rPr>
      <w:instrText xml:space="preserve"> PAGE </w:instrText>
    </w:r>
    <w:r>
      <w:rPr>
        <w:rFonts w:ascii="Open Sans" w:cs="Open Sans" w:hAnsi="Open Sans" w:eastAsia="Open Sans"/>
        <w:sz w:val="18"/>
        <w:szCs w:val="18"/>
        <w14:textOutline w14:w="12700" w14:cap="flat">
          <w14:noFill/>
          <w14:miter w14:lim="400000"/>
        </w14:textOutline>
      </w:rPr>
      <w:fldChar w:fldCharType="separate" w:fldLock="0"/>
    </w:r>
    <w:r>
      <w:rPr>
        <w:rFonts w:ascii="Open Sans" w:cs="Open Sans" w:hAnsi="Open Sans" w:eastAsia="Open Sans"/>
        <w:sz w:val="18"/>
        <w:szCs w:val="18"/>
        <w14:textOutline w14:w="12700" w14:cap="flat">
          <w14:noFill/>
          <w14:miter w14:lim="400000"/>
        </w14:textOutline>
      </w:rPr>
      <w:t>1</w:t>
    </w:r>
    <w:r>
      <w:rPr>
        <w:rFonts w:ascii="Open Sans" w:cs="Open Sans" w:hAnsi="Open Sans" w:eastAsia="Open Sans"/>
        <w:sz w:val="18"/>
        <w:szCs w:val="18"/>
        <w14:textOutline w14:w="12700" w14:cap="flat">
          <w14:noFill/>
          <w14:miter w14:lim="400000"/>
        </w14:textOutline>
      </w:rPr>
      <w:fldChar w:fldCharType="end" w:fldLock="0"/>
    </w:r>
    <w:r>
      <w:rPr>
        <w:rFonts w:ascii="Open Sans" w:hAnsi="Open Sans"/>
        <w:sz w:val="18"/>
        <w:szCs w:val="18"/>
        <w:rtl w:val="0"/>
        <w:lang w:val="en-US"/>
        <w14:textOutline w14:w="12700" w14:cap="flat">
          <w14:noFill/>
          <w14:miter w14:lim="400000"/>
        </w14:textOutline>
      </w:rPr>
      <w:t xml:space="preserve"> of </w:t>
    </w:r>
    <w:r>
      <w:rPr>
        <w:rFonts w:ascii="Open Sans" w:cs="Open Sans" w:hAnsi="Open Sans" w:eastAsia="Open Sans"/>
        <w:sz w:val="18"/>
        <w:szCs w:val="18"/>
        <w14:textOutline w14:w="12700" w14:cap="flat">
          <w14:noFill/>
          <w14:miter w14:lim="400000"/>
        </w14:textOutline>
      </w:rPr>
      <w:fldChar w:fldCharType="begin" w:fldLock="0"/>
    </w:r>
    <w:r>
      <w:rPr>
        <w:rFonts w:ascii="Open Sans" w:cs="Open Sans" w:hAnsi="Open Sans" w:eastAsia="Open Sans"/>
        <w:sz w:val="18"/>
        <w:szCs w:val="18"/>
        <w14:textOutline w14:w="12700" w14:cap="flat">
          <w14:noFill/>
          <w14:miter w14:lim="400000"/>
        </w14:textOutline>
      </w:rPr>
      <w:instrText xml:space="preserve"> NUMPAGES </w:instrText>
    </w:r>
    <w:r>
      <w:rPr>
        <w:rFonts w:ascii="Open Sans" w:cs="Open Sans" w:hAnsi="Open Sans" w:eastAsia="Open Sans"/>
        <w:sz w:val="18"/>
        <w:szCs w:val="18"/>
        <w14:textOutline w14:w="12700" w14:cap="flat">
          <w14:noFill/>
          <w14:miter w14:lim="400000"/>
        </w14:textOutline>
      </w:rPr>
      <w:fldChar w:fldCharType="separate" w:fldLock="0"/>
    </w:r>
    <w:r>
      <w:rPr>
        <w:rFonts w:ascii="Open Sans" w:cs="Open Sans" w:hAnsi="Open Sans" w:eastAsia="Open Sans"/>
        <w:sz w:val="18"/>
        <w:szCs w:val="18"/>
        <w14:textOutline w14:w="12700" w14:cap="flat">
          <w14:noFill/>
          <w14:miter w14:lim="400000"/>
        </w14:textOutline>
      </w:rPr>
      <w:t>1</w:t>
    </w:r>
    <w:r>
      <w:rPr>
        <w:rFonts w:ascii="Open Sans" w:cs="Open Sans" w:hAnsi="Open Sans" w:eastAsia="Open Sans"/>
        <w:sz w:val="18"/>
        <w:szCs w:val="18"/>
        <w14:textOutline w14:w="12700" w14:cap="flat">
          <w14:noFill/>
          <w14:miter w14:lim="400000"/>
        </w14:textOutline>
      </w:rPr>
      <w:fldChar w:fldCharType="end" w:fldLock="0"/>
    </w:r>
    <w:r>
      <w:rPr>
        <w:rFonts w:ascii="Open Sans" w:hAnsi="Open Sans"/>
        <w:sz w:val="18"/>
        <w:szCs w:val="18"/>
        <w:rtl w:val="0"/>
        <w:lang w:val="en-US"/>
        <w14:textOutline w14:w="12700" w14:cap="flat">
          <w14:noFill/>
          <w14:miter w14:lim="400000"/>
        </w14:textOutline>
      </w:rPr>
      <w:t xml:space="preserve">                                                                         5/11/2021</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right" w:pos="9612"/>
        <w:tab w:val="clear" w:pos="9632"/>
      </w:tabs>
      <w:jc w:val="center"/>
    </w:pPr>
    <w:r>
      <mc:AlternateContent>
        <mc:Choice Requires="wps">
          <w:drawing>
            <wp:inline distT="0" distB="0" distL="0" distR="0">
              <wp:extent cx="2156461" cy="758191"/>
              <wp:effectExtent l="0" t="0" r="0" b="0"/>
              <wp:docPr id="1073741825" name="officeArt object"/>
              <wp:cNvGraphicFramePr/>
              <a:graphic xmlns:a="http://schemas.openxmlformats.org/drawingml/2006/main">
                <a:graphicData uri="http://schemas.microsoft.com/office/word/2010/wordprocessingShape">
                  <wps:wsp>
                    <wps:cNvSpPr/>
                    <wps:spPr>
                      <a:xfrm>
                        <a:off x="0" y="0"/>
                        <a:ext cx="2156461" cy="758191"/>
                      </a:xfrm>
                      <a:prstGeom prst="rect">
                        <a:avLst/>
                      </a:prstGeom>
                      <a:noFill/>
                      <a:ln w="12700" cap="flat">
                        <a:noFill/>
                        <a:miter lim="400000"/>
                      </a:ln>
                      <a:effectLst/>
                    </wps:spPr>
                    <wps:txbx>
                      <w:txbxContent>
                        <w:p>
                          <w:pPr>
                            <w:pStyle w:val="Label"/>
                            <w:bidi w:val="0"/>
                          </w:pPr>
                          <w:r>
                            <w:drawing>
                              <wp:inline distT="0" distB="0" distL="0" distR="0">
                                <wp:extent cx="2156461" cy="7581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
                                        <pic:cNvPicPr>
                                          <a:picLocks noChangeAspect="0"/>
                                        </pic:cNvPicPr>
                                      </pic:nvPicPr>
                                      <pic:blipFill>
                                        <a:blip r:embed="rId1">
                                          <a:extLst/>
                                        </a:blip>
                                        <a:stretch>
                                          <a:fillRect/>
                                        </a:stretch>
                                      </pic:blipFill>
                                      <pic:spPr>
                                        <a:xfrm>
                                          <a:off x="0" y="0"/>
                                          <a:ext cx="2156461" cy="758191"/>
                                        </a:xfrm>
                                        <a:prstGeom prst="rect">
                                          <a:avLst/>
                                        </a:prstGeom>
                                      </pic:spPr>
                                    </pic:pic>
                                  </a:graphicData>
                                </a:graphic>
                              </wp:inline>
                            </w:drawing>
                          </w:r>
                        </w:p>
                      </w:txbxContent>
                    </wps:txbx>
                    <wps:bodyPr wrap="square" lIns="0" tIns="0" rIns="0" bIns="0" numCol="1" anchor="t">
                      <a:noAutofit/>
                    </wps:bodyPr>
                  </wps:wsp>
                </a:graphicData>
              </a:graphic>
            </wp:inline>
          </w:drawing>
        </mc:Choice>
        <mc:Fallback>
          <w:pict>
            <v:rect id="_x0000_s1026" style="visibility:visible;width:169.8pt;height:59.7pt;">
              <v:fill on="f"/>
              <v:stroke on="f" weight="1.0pt" dashstyle="solid" endcap="flat" miterlimit="400.0%" joinstyle="miter" linestyle="single" startarrow="none" startarrowwidth="medium" startarrowlength="medium" endarrow="none" endarrowwidth="medium" endarrowlength="medium"/>
              <v:textbox>
                <w:txbxContent>
                  <w:p>
                    <w:pPr>
                      <w:pStyle w:val="Label"/>
                      <w:bidi w:val="0"/>
                    </w:pPr>
                    <w:r>
                      <w:drawing>
                        <wp:inline distT="0" distB="0" distL="0" distR="0">
                          <wp:extent cx="2156461" cy="7581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
                                  <pic:cNvPicPr>
                                    <a:picLocks noChangeAspect="0"/>
                                  </pic:cNvPicPr>
                                </pic:nvPicPr>
                                <pic:blipFill>
                                  <a:blip r:embed="rId1">
                                    <a:extLst/>
                                  </a:blip>
                                  <a:stretch>
                                    <a:fillRect/>
                                  </a:stretch>
                                </pic:blipFill>
                                <pic:spPr>
                                  <a:xfrm>
                                    <a:off x="0" y="0"/>
                                    <a:ext cx="2156461" cy="758191"/>
                                  </a:xfrm>
                                  <a:prstGeom prst="rect">
                                    <a:avLst/>
                                  </a:prstGeom>
                                </pic:spPr>
                              </pic:pic>
                            </a:graphicData>
                          </a:graphic>
                        </wp:inline>
                      </w:drawing>
                    </w:r>
                  </w:p>
                </w:txbxContent>
              </v:textbox>
            </v:rect>
          </w:pict>
        </mc:Fallback>
      </mc:AlternateConten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right" w:pos="9612"/>
        <w:tab w:val="clear" w:pos="9632"/>
      </w:tabs>
      <w:jc w:val="center"/>
    </w:pPr>
    <w:r>
      <w:drawing>
        <wp:inline distT="0" distB="0" distL="0" distR="0">
          <wp:extent cx="2156461" cy="758191"/>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jpeg"/>
                  <pic:cNvPicPr>
                    <a:picLocks noChangeAspect="1"/>
                  </pic:cNvPicPr>
                </pic:nvPicPr>
                <pic:blipFill>
                  <a:blip r:embed="rId1">
                    <a:extLst/>
                  </a:blip>
                  <a:stretch>
                    <a:fillRect/>
                  </a:stretch>
                </pic:blipFill>
                <pic:spPr>
                  <a:xfrm>
                    <a:off x="0" y="0"/>
                    <a:ext cx="2156461" cy="758191"/>
                  </a:xfrm>
                  <a:prstGeom prst="rect">
                    <a:avLst/>
                  </a:prstGeom>
                  <a:ln w="12700" cap="flat">
                    <a:noFill/>
                    <a:miter lim="400000"/>
                  </a:ln>
                  <a:effectLst/>
                </pic:spPr>
              </pic:pic>
            </a:graphicData>
          </a:graphic>
        </wp:inline>
      </w:drawing>
    </w:r>
    <w:r>
      <mc:AlternateContent>
        <mc:Choice Requires="wps">
          <w:drawing>
            <wp:inline distT="0" distB="0" distL="0" distR="0">
              <wp:extent cx="2156461" cy="758191"/>
              <wp:effectExtent l="0" t="0" r="0" b="0"/>
              <wp:docPr id="1073741828" name="officeArt object"/>
              <wp:cNvGraphicFramePr/>
              <a:graphic xmlns:a="http://schemas.openxmlformats.org/drawingml/2006/main">
                <a:graphicData uri="http://schemas.microsoft.com/office/word/2010/wordprocessingShape">
                  <wps:wsp>
                    <wps:cNvSpPr/>
                    <wps:spPr>
                      <a:xfrm>
                        <a:off x="0" y="0"/>
                        <a:ext cx="2156461" cy="758191"/>
                      </a:xfrm>
                      <a:prstGeom prst="rect">
                        <a:avLst/>
                      </a:prstGeom>
                      <a:noFill/>
                      <a:ln w="12700" cap="flat">
                        <a:noFill/>
                        <a:miter lim="400000"/>
                      </a:ln>
                      <a:effectLst/>
                    </wps:spPr>
                    <wps:bodyPr/>
                  </wps:wsp>
                </a:graphicData>
              </a:graphic>
            </wp:inline>
          </w:drawing>
        </mc:Choice>
        <mc:Fallback>
          <w:pict>
            <v:rect id="_x0000_s1027" style="visibility:visible;width:169.8pt;height:59.7pt;">
              <v:fill on="f"/>
              <v:stroke on="f" weight="1.0pt" dashstyle="solid" endcap="flat" miterlimit="400.0%" joinstyle="miter" linestyle="single" startarrow="none" startarrowwidth="medium" startarrowlength="medium" endarrow="none" endarrowwidth="medium" endarrowlength="medium"/>
            </v:rect>
          </w:pict>
        </mc:Fallback>
      </mc:AlternateConten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Imported Style 1"/>
  </w:abstractNum>
  <w:abstractNum w:abstractNumId="2">
    <w:multiLevelType w:val="hybridMultilevel"/>
    <w:styleLink w:val="Imported Style 1"/>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40" w:hanging="3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60" w:hanging="3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80" w:hanging="3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00" w:hanging="34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1"/>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14:textOutline>
        <w14:noFill/>
      </w14:textOutline>
      <w14:textFill>
        <w14:solidFill>
          <w14:srgbClr w14:val="000000"/>
        </w14:solidFill>
      </w14:textFill>
    </w:rPr>
  </w:style>
  <w:style w:type="paragraph" w:styleId="Label">
    <w:name w:val="Label"/>
    <w:next w:val="Label"/>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mbria" w:cs="Arial Unicode MS" w:hAnsi="Cambria" w:eastAsia="Arial Unicode MS"/>
      <w:b w:val="0"/>
      <w:bCs w:val="0"/>
      <w:i w:val="0"/>
      <w:iCs w:val="0"/>
      <w:caps w:val="0"/>
      <w:smallCaps w:val="0"/>
      <w:strike w:val="0"/>
      <w:dstrike w:val="0"/>
      <w:outline w:val="0"/>
      <w:color w:val="000000"/>
      <w:spacing w:val="0"/>
      <w:kern w:val="0"/>
      <w:position w:val="0"/>
      <w:sz w:val="36"/>
      <w:szCs w:val="36"/>
      <w:u w:val="none"/>
      <w:vertAlign w:val="baseline"/>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 w:type="numbering" w:styleId="Imported Style 1">
    <w:name w:val="Imported Style 1"/>
    <w:pPr>
      <w:numPr>
        <w:numId w:val="2"/>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_rels/header2.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