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media/image1.jpeg" ContentType="image/jpeg"/>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A"/>
        <w:suppressAutoHyphens w:val="1"/>
        <w:spacing w:line="240" w:lineRule="auto"/>
        <w:rPr>
          <w:sz w:val="36"/>
          <w:szCs w:val="36"/>
        </w:rPr>
      </w:pPr>
      <w:r>
        <w:rPr>
          <w:sz w:val="36"/>
          <w:szCs w:val="36"/>
          <w:rtl w:val="0"/>
          <w:lang w:val="en-US"/>
        </w:rPr>
        <w:t>Re</w:t>
      </w:r>
      <w:r>
        <w:rPr>
          <w:sz w:val="36"/>
          <w:szCs w:val="36"/>
          <w:rtl w:val="0"/>
          <w:lang w:val="en-US"/>
        </w:rPr>
        <w:t>cruitment</w:t>
      </w:r>
      <w:r>
        <w:rPr>
          <w:sz w:val="36"/>
          <w:szCs w:val="36"/>
          <w:rtl w:val="0"/>
          <w:lang w:val="en-US"/>
        </w:rPr>
        <w:t xml:space="preserve">: </w:t>
      </w:r>
      <w:r>
        <w:rPr>
          <w:sz w:val="36"/>
          <w:szCs w:val="36"/>
          <w:rtl w:val="0"/>
          <w:lang w:val="en-US"/>
        </w:rPr>
        <w:t>Email invitations</w:t>
      </w:r>
      <w:r>
        <w:rPr>
          <w:sz w:val="36"/>
          <w:szCs w:val="36"/>
          <w:rtl w:val="0"/>
          <w:lang w:val="en-US"/>
        </w:rPr>
        <w:t xml:space="preserve"> (ID Re</w:t>
      </w:r>
      <w:r>
        <w:rPr>
          <w:sz w:val="36"/>
          <w:szCs w:val="36"/>
          <w:rtl w:val="0"/>
          <w:lang w:val="en-US"/>
        </w:rPr>
        <w:t>c9</w:t>
      </w:r>
      <w:r>
        <w:rPr>
          <w:sz w:val="36"/>
          <w:szCs w:val="36"/>
          <w:rtl w:val="0"/>
          <w:lang w:val="en-US"/>
        </w:rPr>
        <w:t>)</w:t>
      </w:r>
    </w:p>
    <w:p>
      <w:pPr>
        <w:pStyle w:val="Body A"/>
        <w:suppressAutoHyphens w:val="1"/>
        <w:spacing w:line="240" w:lineRule="auto"/>
        <w:rPr>
          <w:sz w:val="36"/>
          <w:szCs w:val="36"/>
        </w:rPr>
      </w:pPr>
    </w:p>
    <w:p>
      <w:pPr>
        <w:pStyle w:val="Body A"/>
        <w:suppressAutoHyphens w:val="1"/>
        <w:spacing w:line="240" w:lineRule="auto"/>
      </w:pPr>
      <w:r>
        <w:rPr>
          <w:rtl w:val="0"/>
          <w:lang w:val="en-US"/>
        </w:rPr>
        <w:t>General</w:t>
      </w: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r>
        <w:rPr>
          <w:b w:val="0"/>
          <w:bCs w:val="0"/>
          <w:outline w:val="0"/>
          <w:color w:val="000000"/>
          <w:sz w:val="24"/>
          <w:szCs w:val="24"/>
          <w:u w:color="000000"/>
          <w:rtl w:val="0"/>
          <w:lang w:val="en-US"/>
          <w14:textFill>
            <w14:solidFill>
              <w14:srgbClr w14:val="000000"/>
            </w14:solidFill>
          </w14:textFill>
        </w:rPr>
        <w:t xml:space="preserve">This document uses the five criteria listed in Trial Forge Guidance 2 </w:t>
      </w:r>
      <w:r>
        <w:rPr>
          <w:b w:val="0"/>
          <w:bCs w:val="0"/>
          <w:outline w:val="0"/>
          <w:color w:val="000000"/>
          <w:sz w:val="24"/>
          <w:szCs w:val="24"/>
          <w:u w:color="000000"/>
          <w:rtl w:val="0"/>
          <w:lang w:val="en-US"/>
          <w14:textFill>
            <w14:solidFill>
              <w14:srgbClr w14:val="000000"/>
            </w14:solidFill>
          </w14:textFill>
        </w:rPr>
        <w:t>‘</w:t>
      </w:r>
      <w:r>
        <w:rPr>
          <w:b w:val="0"/>
          <w:bCs w:val="0"/>
          <w:outline w:val="0"/>
          <w:color w:val="000000"/>
          <w:sz w:val="24"/>
          <w:szCs w:val="24"/>
          <w:u w:color="000000"/>
          <w:rtl w:val="0"/>
          <w:lang w:val="en-US"/>
          <w14:textFill>
            <w14:solidFill>
              <w14:srgbClr w14:val="000000"/>
            </w14:solidFill>
          </w14:textFill>
        </w:rPr>
        <w:t>How to decide if a further Study Within A Trial (SWAT) is needed</w:t>
      </w:r>
      <w:r>
        <w:rPr>
          <w:b w:val="0"/>
          <w:bCs w:val="0"/>
          <w:outline w:val="0"/>
          <w:color w:val="000000"/>
          <w:sz w:val="24"/>
          <w:szCs w:val="24"/>
          <w:u w:color="000000"/>
          <w:rtl w:val="0"/>
          <w:lang w:val="en-US"/>
          <w14:textFill>
            <w14:solidFill>
              <w14:srgbClr w14:val="000000"/>
            </w14:solidFill>
          </w14:textFill>
        </w:rPr>
        <w:t xml:space="preserve">’ </w:t>
      </w:r>
      <w:r>
        <w:rPr>
          <w:b w:val="0"/>
          <w:bCs w:val="0"/>
          <w:outline w:val="0"/>
          <w:color w:val="000000"/>
          <w:sz w:val="24"/>
          <w:szCs w:val="24"/>
          <w:u w:color="000000"/>
          <w:rtl w:val="0"/>
          <w:lang w:val="en-US"/>
          <w14:textFill>
            <w14:solidFill>
              <w14:srgbClr w14:val="000000"/>
            </w14:solidFill>
          </w14:textFill>
        </w:rPr>
        <w:t>(</w:t>
      </w:r>
      <w:r>
        <w:rPr>
          <w:rStyle w:val="Hyperlink.0"/>
        </w:rPr>
        <w:fldChar w:fldCharType="begin" w:fldLock="0"/>
      </w:r>
      <w:r>
        <w:rPr>
          <w:rStyle w:val="Hyperlink.0"/>
        </w:rPr>
        <w:instrText xml:space="preserve"> HYPERLINK "https://doi.org/10.1186/s13063-019-3980-5"</w:instrText>
      </w:r>
      <w:r>
        <w:rPr>
          <w:rStyle w:val="Hyperlink.0"/>
        </w:rPr>
        <w:fldChar w:fldCharType="separate" w:fldLock="0"/>
      </w:r>
      <w:r>
        <w:rPr>
          <w:rStyle w:val="Hyperlink.0"/>
          <w:rtl w:val="0"/>
          <w:lang w:val="en-US"/>
        </w:rPr>
        <w:t>https://doi.org/10.1186/s13063-019-3980-5</w:t>
      </w:r>
      <w:r>
        <w:rPr/>
        <w:fldChar w:fldCharType="end" w:fldLock="0"/>
      </w:r>
      <w:r>
        <w:rPr>
          <w:rStyle w:val="None"/>
          <w:b w:val="0"/>
          <w:bCs w:val="0"/>
          <w:outline w:val="0"/>
          <w:color w:val="000000"/>
          <w:sz w:val="24"/>
          <w:szCs w:val="24"/>
          <w:u w:color="000000"/>
          <w:rtl w:val="0"/>
          <w:lang w:val="en-US"/>
          <w14:textFill>
            <w14:solidFill>
              <w14:srgbClr w14:val="000000"/>
            </w14:solidFill>
          </w14:textFill>
        </w:rPr>
        <w:t>).  The criteria are listed in Appendix 1 at the end of this document.</w:t>
      </w: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p>
    <w:p>
      <w:pPr>
        <w:pStyle w:val="Body A"/>
        <w:suppressAutoHyphens w:val="1"/>
        <w:spacing w:line="240" w:lineRule="auto"/>
      </w:pPr>
      <w:r>
        <w:rPr>
          <w:rStyle w:val="None"/>
          <w:rtl w:val="0"/>
          <w:lang w:val="en-US"/>
        </w:rPr>
        <w:t xml:space="preserve">Do we need more evaluations of </w:t>
      </w:r>
      <w:r>
        <w:rPr>
          <w:rStyle w:val="None"/>
          <w:rtl w:val="0"/>
          <w:lang w:val="en-US"/>
        </w:rPr>
        <w:t>email invitations</w:t>
      </w:r>
      <w:r>
        <w:rPr>
          <w:rStyle w:val="None"/>
          <w:rtl w:val="0"/>
          <w:lang w:val="en-US"/>
        </w:rPr>
        <w:t>?</w:t>
      </w: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r>
        <w:rPr>
          <w:rStyle w:val="None"/>
          <w:b w:val="0"/>
          <w:bCs w:val="0"/>
          <w:outline w:val="0"/>
          <w:color w:val="000000"/>
          <w:sz w:val="24"/>
          <w:szCs w:val="24"/>
          <w:u w:color="000000"/>
          <w:rtl w:val="0"/>
          <w:lang w:val="en-US"/>
          <w14:textFill>
            <w14:solidFill>
              <w14:srgbClr w14:val="000000"/>
            </w14:solidFill>
          </w14:textFill>
        </w:rPr>
        <w:t>Yes.</w:t>
      </w:r>
    </w:p>
    <w:p>
      <w:pPr>
        <w:pStyle w:val="Body A"/>
        <w:suppressAutoHyphens w:val="1"/>
        <w:spacing w:line="240" w:lineRule="auto"/>
        <w:rPr>
          <w:rStyle w:val="None"/>
          <w:b w:val="0"/>
          <w:bCs w:val="0"/>
          <w:outline w:val="0"/>
          <w:color w:val="000000"/>
          <w:sz w:val="22"/>
          <w:szCs w:val="22"/>
          <w:u w:color="000000"/>
          <w14:textFill>
            <w14:solidFill>
              <w14:srgbClr w14:val="000000"/>
            </w14:solidFill>
          </w14:textFill>
        </w:rPr>
      </w:pPr>
    </w:p>
    <w:p>
      <w:pPr>
        <w:pStyle w:val="Body A"/>
        <w:suppressAutoHyphens w:val="1"/>
        <w:spacing w:line="240" w:lineRule="auto"/>
      </w:pPr>
      <w:r>
        <w:rPr>
          <w:rStyle w:val="None"/>
          <w:rtl w:val="0"/>
          <w:lang w:val="en-US"/>
        </w:rPr>
        <w:t>Why do we need more evaluations and in what sort of host trial?</w:t>
      </w: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r>
        <w:rPr>
          <w:rStyle w:val="None"/>
          <w:b w:val="0"/>
          <w:bCs w:val="0"/>
          <w:outline w:val="0"/>
          <w:color w:val="000000"/>
          <w:sz w:val="24"/>
          <w:szCs w:val="24"/>
          <w:u w:color="000000"/>
          <w:rtl w:val="0"/>
          <w:lang w:val="en-US"/>
          <w14:textFill>
            <w14:solidFill>
              <w14:srgbClr w14:val="000000"/>
            </w14:solidFill>
          </w14:textFill>
        </w:rPr>
        <w:t xml:space="preserve">A trial team is likely to consider information about the following essential when deciding whether a further evaluation of </w:t>
      </w:r>
      <w:r>
        <w:rPr>
          <w:rStyle w:val="None"/>
          <w:b w:val="0"/>
          <w:bCs w:val="0"/>
          <w:outline w:val="0"/>
          <w:color w:val="000000"/>
          <w:sz w:val="24"/>
          <w:szCs w:val="24"/>
          <w:u w:color="000000"/>
          <w:rtl w:val="0"/>
          <w:lang w:val="en-US"/>
          <w14:textFill>
            <w14:solidFill>
              <w14:srgbClr w14:val="000000"/>
            </w14:solidFill>
          </w14:textFill>
        </w:rPr>
        <w:t>email invitations as a recruitment intervention</w:t>
      </w:r>
      <w:r>
        <w:rPr>
          <w:rStyle w:val="None"/>
          <w:b w:val="0"/>
          <w:bCs w:val="0"/>
          <w:outline w:val="0"/>
          <w:color w:val="000000"/>
          <w:sz w:val="24"/>
          <w:szCs w:val="24"/>
          <w:u w:color="000000"/>
          <w:rtl w:val="0"/>
          <w:lang w:val="en-US"/>
          <w14:textFill>
            <w14:solidFill>
              <w14:srgbClr w14:val="000000"/>
            </w14:solidFill>
          </w14:textFill>
        </w:rPr>
        <w:t xml:space="preserve"> should form part of their </w:t>
      </w:r>
      <w:r>
        <w:rPr>
          <w:rStyle w:val="None"/>
          <w:b w:val="0"/>
          <w:bCs w:val="0"/>
          <w:outline w:val="0"/>
          <w:color w:val="000000"/>
          <w:sz w:val="24"/>
          <w:szCs w:val="24"/>
          <w:u w:color="000000"/>
          <w:rtl w:val="0"/>
          <w:lang w:val="en-US"/>
          <w14:textFill>
            <w14:solidFill>
              <w14:srgbClr w14:val="000000"/>
            </w14:solidFill>
          </w14:textFill>
        </w:rPr>
        <w:t xml:space="preserve">recruitment </w:t>
      </w:r>
      <w:r>
        <w:rPr>
          <w:rStyle w:val="None"/>
          <w:b w:val="0"/>
          <w:bCs w:val="0"/>
          <w:outline w:val="0"/>
          <w:color w:val="000000"/>
          <w:sz w:val="24"/>
          <w:szCs w:val="24"/>
          <w:u w:color="000000"/>
          <w:rtl w:val="0"/>
          <w:lang w:val="en-US"/>
          <w14:textFill>
            <w14:solidFill>
              <w14:srgbClr w14:val="000000"/>
            </w14:solidFill>
          </w14:textFill>
        </w:rPr>
        <w:t xml:space="preserve">strategy: </w:t>
        <w:tab/>
      </w:r>
    </w:p>
    <w:p>
      <w:pPr>
        <w:pStyle w:val="Body A"/>
        <w:numPr>
          <w:ilvl w:val="0"/>
          <w:numId w:val="2"/>
        </w:numPr>
        <w:suppressAutoHyphens w:val="1"/>
        <w:bidi w:val="0"/>
        <w:spacing w:line="240" w:lineRule="auto"/>
        <w:ind w:right="0"/>
        <w:jc w:val="left"/>
        <w:rPr>
          <w:b w:val="0"/>
          <w:bCs w:val="0"/>
          <w:outline w:val="0"/>
          <w:color w:val="000000"/>
          <w:sz w:val="24"/>
          <w:szCs w:val="24"/>
          <w:rtl w:val="0"/>
          <w:lang w:val="fr-FR"/>
          <w14:textFill>
            <w14:solidFill>
              <w14:srgbClr w14:val="000000"/>
            </w14:solidFill>
          </w14:textFill>
        </w:rPr>
      </w:pPr>
      <w:r>
        <w:rPr>
          <w:rStyle w:val="None"/>
          <w:b w:val="0"/>
          <w:bCs w:val="0"/>
          <w:outline w:val="0"/>
          <w:color w:val="000000"/>
          <w:sz w:val="24"/>
          <w:szCs w:val="24"/>
          <w:u w:color="000000"/>
          <w:rtl w:val="0"/>
          <w:lang w:val="fr-FR"/>
          <w14:textFill>
            <w14:solidFill>
              <w14:srgbClr w14:val="000000"/>
            </w14:solidFill>
          </w14:textFill>
        </w:rPr>
        <w:t xml:space="preserve">effect on </w:t>
      </w:r>
      <w:r>
        <w:rPr>
          <w:rStyle w:val="None"/>
          <w:b w:val="0"/>
          <w:bCs w:val="0"/>
          <w:outline w:val="0"/>
          <w:color w:val="000000"/>
          <w:sz w:val="24"/>
          <w:szCs w:val="24"/>
          <w:u w:color="000000"/>
          <w:rtl w:val="0"/>
          <w:lang w:val="fr-FR"/>
          <w14:textFill>
            <w14:solidFill>
              <w14:srgbClr w14:val="000000"/>
            </w14:solidFill>
          </w14:textFill>
        </w:rPr>
        <w:t>recruitment</w:t>
      </w:r>
    </w:p>
    <w:p>
      <w:pPr>
        <w:pStyle w:val="Body A"/>
        <w:numPr>
          <w:ilvl w:val="0"/>
          <w:numId w:val="2"/>
        </w:numPr>
        <w:suppressAutoHyphens w:val="1"/>
        <w:bidi w:val="0"/>
        <w:spacing w:line="240" w:lineRule="auto"/>
        <w:ind w:right="0"/>
        <w:jc w:val="left"/>
        <w:rPr>
          <w:b w:val="0"/>
          <w:bCs w:val="0"/>
          <w:outline w:val="0"/>
          <w:color w:val="000000"/>
          <w:sz w:val="24"/>
          <w:szCs w:val="24"/>
          <w:rtl w:val="0"/>
          <w:lang w:val="it-IT"/>
          <w14:textFill>
            <w14:solidFill>
              <w14:srgbClr w14:val="000000"/>
            </w14:solidFill>
          </w14:textFill>
        </w:rPr>
      </w:pPr>
      <w:r>
        <w:rPr>
          <w:rStyle w:val="None"/>
          <w:b w:val="0"/>
          <w:bCs w:val="0"/>
          <w:outline w:val="0"/>
          <w:color w:val="000000"/>
          <w:sz w:val="24"/>
          <w:szCs w:val="24"/>
          <w:u w:color="000000"/>
          <w:rtl w:val="0"/>
          <w:lang w:val="it-IT"/>
          <w14:textFill>
            <w14:solidFill>
              <w14:srgbClr w14:val="000000"/>
            </w14:solidFill>
          </w14:textFill>
        </w:rPr>
        <w:t>cost</w:t>
      </w:r>
      <w:r>
        <w:rPr>
          <w:rStyle w:val="None"/>
          <w:b w:val="0"/>
          <w:bCs w:val="0"/>
          <w:outline w:val="0"/>
          <w:color w:val="000000"/>
          <w:sz w:val="24"/>
          <w:szCs w:val="24"/>
          <w:u w:color="000000"/>
          <w:rtl w:val="0"/>
          <w:lang w:val="it-IT"/>
          <w14:textFill>
            <w14:solidFill>
              <w14:srgbClr w14:val="000000"/>
            </w14:solidFill>
          </w14:textFill>
        </w:rPr>
        <w:t xml:space="preserve"> (time, money, carbon)</w:t>
      </w: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p>
    <w:p>
      <w:pPr>
        <w:pStyle w:val="Body A"/>
        <w:suppressAutoHyphens w:val="1"/>
        <w:spacing w:line="240" w:lineRule="auto"/>
        <w:rPr>
          <w:rStyle w:val="None"/>
          <w:sz w:val="24"/>
          <w:szCs w:val="24"/>
        </w:rPr>
      </w:pPr>
      <w:r>
        <w:rPr>
          <w:rStyle w:val="None"/>
          <w:sz w:val="24"/>
          <w:szCs w:val="24"/>
          <w:rtl w:val="0"/>
          <w:lang w:val="en-US"/>
        </w:rPr>
        <w:t>Applying the five criteria</w:t>
      </w:r>
    </w:p>
    <w:p>
      <w:pPr>
        <w:pStyle w:val="Body A"/>
        <w:suppressAutoHyphens w:val="1"/>
        <w:spacing w:line="240" w:lineRule="auto"/>
        <w:rPr>
          <w:rStyle w:val="None"/>
          <w:b w:val="0"/>
          <w:bCs w:val="0"/>
          <w:outline w:val="0"/>
          <w:color w:val="000000"/>
          <w:sz w:val="24"/>
          <w:szCs w:val="24"/>
          <w14:textFill>
            <w14:solidFill>
              <w14:srgbClr w14:val="000000"/>
            </w14:solidFill>
          </w14:textFill>
        </w:rPr>
      </w:pPr>
      <w:r>
        <w:rPr>
          <w:rStyle w:val="None"/>
          <w:b w:val="0"/>
          <w:bCs w:val="0"/>
          <w:outline w:val="0"/>
          <w:color w:val="000000"/>
          <w:sz w:val="24"/>
          <w:szCs w:val="24"/>
          <w:rtl w:val="0"/>
          <w:lang w:val="en-US"/>
          <w14:textFill>
            <w14:solidFill>
              <w14:srgbClr w14:val="000000"/>
            </w14:solidFill>
          </w14:textFill>
        </w:rPr>
        <w:t>Evidence comes from the 2018 Cochrane review of interventions to improve recruitment</w:t>
      </w:r>
      <w:r>
        <w:rPr>
          <w:rStyle w:val="None"/>
          <w:b w:val="0"/>
          <w:bCs w:val="0"/>
          <w:outline w:val="0"/>
          <w:color w:val="000000"/>
          <w:sz w:val="24"/>
          <w:szCs w:val="24"/>
          <w:vertAlign w:val="superscript"/>
          <w:rtl w:val="0"/>
          <w:lang w:val="en-US"/>
          <w14:textFill>
            <w14:solidFill>
              <w14:srgbClr w14:val="000000"/>
            </w14:solidFill>
          </w14:textFill>
        </w:rPr>
        <w:t>1</w:t>
      </w:r>
      <w:r>
        <w:rPr>
          <w:rStyle w:val="None"/>
          <w:b w:val="0"/>
          <w:bCs w:val="0"/>
          <w:outline w:val="0"/>
          <w:color w:val="000000"/>
          <w:sz w:val="24"/>
          <w:szCs w:val="24"/>
          <w:rtl w:val="0"/>
          <w:lang w:val="en-US"/>
          <w14:textFill>
            <w14:solidFill>
              <w14:srgbClr w14:val="000000"/>
            </w14:solidFill>
          </w14:textFill>
        </w:rPr>
        <w:t>.</w:t>
      </w:r>
    </w:p>
    <w:p>
      <w:pPr>
        <w:pStyle w:val="Body A"/>
        <w:suppressAutoHyphens w:val="1"/>
        <w:spacing w:line="240" w:lineRule="auto"/>
        <w:rPr>
          <w:rStyle w:val="None"/>
          <w:b w:val="0"/>
          <w:bCs w:val="0"/>
          <w:outline w:val="0"/>
          <w:color w:val="000000"/>
          <w:sz w:val="24"/>
          <w:szCs w:val="24"/>
          <w14:textFill>
            <w14:solidFill>
              <w14:srgbClr w14:val="000000"/>
            </w14:solidFill>
          </w14:textFill>
        </w:rPr>
      </w:pP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r>
        <w:rPr>
          <w:rStyle w:val="None"/>
          <w:outline w:val="0"/>
          <w:color w:val="000000"/>
          <w:sz w:val="24"/>
          <w:szCs w:val="24"/>
          <w:u w:color="000000"/>
          <w:rtl w:val="0"/>
          <w:lang w:val="en-US"/>
          <w14:textFill>
            <w14:solidFill>
              <w14:srgbClr w14:val="000000"/>
            </w14:solidFill>
          </w14:textFill>
        </w:rPr>
        <w:t>Outcome availability</w:t>
      </w:r>
      <w:r>
        <w:rPr>
          <w:rStyle w:val="None"/>
          <w:outline w:val="0"/>
          <w:color w:val="000000"/>
          <w:sz w:val="24"/>
          <w:szCs w:val="24"/>
          <w:u w:color="000000"/>
          <w:rtl w:val="0"/>
          <w:lang w:val="en-US"/>
          <w14:textFill>
            <w14:solidFill>
              <w14:srgbClr w14:val="000000"/>
            </w14:solidFill>
          </w14:textFill>
        </w:rPr>
        <w:t xml:space="preserve">– </w:t>
      </w:r>
      <w:r>
        <w:rPr>
          <w:rStyle w:val="None"/>
          <w:b w:val="0"/>
          <w:bCs w:val="0"/>
          <w:outline w:val="0"/>
          <w:color w:val="000000"/>
          <w:sz w:val="24"/>
          <w:szCs w:val="24"/>
          <w:u w:color="000000"/>
          <w:rtl w:val="0"/>
          <w:lang w:val="en-US"/>
          <w14:textFill>
            <w14:solidFill>
              <w14:srgbClr w14:val="000000"/>
            </w14:solidFill>
          </w14:textFill>
        </w:rPr>
        <w:t xml:space="preserve">Data </w:t>
      </w:r>
      <w:r>
        <w:rPr>
          <w:rStyle w:val="None"/>
          <w:b w:val="0"/>
          <w:bCs w:val="0"/>
          <w:outline w:val="0"/>
          <w:color w:val="000000"/>
          <w:sz w:val="24"/>
          <w:szCs w:val="24"/>
          <w:u w:color="000000"/>
          <w:rtl w:val="0"/>
          <w:lang w:val="it-IT"/>
          <w14:textFill>
            <w14:solidFill>
              <w14:srgbClr w14:val="000000"/>
            </w14:solidFill>
          </w14:textFill>
        </w:rPr>
        <w:t xml:space="preserve">are </w:t>
      </w:r>
      <w:r>
        <w:rPr>
          <w:rStyle w:val="None"/>
          <w:b w:val="0"/>
          <w:bCs w:val="0"/>
          <w:outline w:val="0"/>
          <w:color w:val="000000"/>
          <w:sz w:val="24"/>
          <w:szCs w:val="24"/>
          <w:u w:color="000000"/>
          <w:rtl w:val="0"/>
          <w:lang w:val="en-US"/>
          <w14:textFill>
            <w14:solidFill>
              <w14:srgbClr w14:val="000000"/>
            </w14:solidFill>
          </w14:textFill>
        </w:rPr>
        <w:t xml:space="preserve">available for </w:t>
      </w:r>
      <w:r>
        <w:rPr>
          <w:rStyle w:val="None"/>
          <w:b w:val="0"/>
          <w:bCs w:val="0"/>
          <w:outline w:val="0"/>
          <w:color w:val="000000"/>
          <w:sz w:val="24"/>
          <w:szCs w:val="24"/>
          <w:u w:color="000000"/>
          <w:rtl w:val="0"/>
          <w:lang w:val="en-US"/>
          <w14:textFill>
            <w14:solidFill>
              <w14:srgbClr w14:val="000000"/>
            </w14:solidFill>
          </w14:textFill>
        </w:rPr>
        <w:t>recruitment, time and cost</w:t>
      </w:r>
      <w:r>
        <w:rPr>
          <w:rStyle w:val="None"/>
          <w:b w:val="0"/>
          <w:bCs w:val="0"/>
          <w:outline w:val="0"/>
          <w:color w:val="000000"/>
          <w:sz w:val="24"/>
          <w:szCs w:val="24"/>
          <w:u w:color="000000"/>
          <w:rtl w:val="0"/>
          <w:lang w:val="en-US"/>
          <w14:textFill>
            <w14:solidFill>
              <w14:srgbClr w14:val="000000"/>
            </w14:solidFill>
          </w14:textFill>
        </w:rPr>
        <w:t xml:space="preserve">. </w:t>
      </w:r>
    </w:p>
    <w:p>
      <w:pPr>
        <w:pStyle w:val="Body A"/>
        <w:suppressAutoHyphens w:val="1"/>
        <w:spacing w:line="240" w:lineRule="auto"/>
        <w:rPr>
          <w:rStyle w:val="None"/>
          <w:sz w:val="24"/>
          <w:szCs w:val="24"/>
        </w:rPr>
      </w:pP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r>
        <w:rPr>
          <w:rStyle w:val="None"/>
          <w:outline w:val="0"/>
          <w:color w:val="000000"/>
          <w:sz w:val="24"/>
          <w:szCs w:val="24"/>
          <w:u w:color="000000"/>
          <w:rtl w:val="0"/>
          <w:lang w:val="da-DK"/>
          <w14:textFill>
            <w14:solidFill>
              <w14:srgbClr w14:val="000000"/>
            </w14:solidFill>
          </w14:textFill>
        </w:rPr>
        <w:t>GRADE</w:t>
      </w:r>
      <w:r>
        <w:rPr>
          <w:rStyle w:val="None"/>
          <w:b w:val="0"/>
          <w:bCs w:val="0"/>
          <w:outline w:val="0"/>
          <w:color w:val="000000"/>
          <w:sz w:val="24"/>
          <w:szCs w:val="24"/>
          <w:u w:color="000000"/>
          <w:rtl w:val="0"/>
          <w:lang w:val="en-US"/>
          <w14:textFill>
            <w14:solidFill>
              <w14:srgbClr w14:val="000000"/>
            </w14:solidFill>
          </w14:textFill>
        </w:rPr>
        <w:t xml:space="preserve">– </w:t>
      </w:r>
      <w:r>
        <w:rPr>
          <w:rStyle w:val="None"/>
          <w:b w:val="0"/>
          <w:bCs w:val="0"/>
          <w:outline w:val="0"/>
          <w:color w:val="000000"/>
          <w:sz w:val="24"/>
          <w:szCs w:val="24"/>
          <w:u w:color="000000"/>
          <w:rtl w:val="0"/>
          <w:lang w:val="en-US"/>
          <w14:textFill>
            <w14:solidFill>
              <w14:srgbClr w14:val="000000"/>
            </w14:solidFill>
          </w14:textFill>
        </w:rPr>
        <w:t xml:space="preserve">The overall GRADE certainty in the evidence is moderate.  </w:t>
      </w:r>
      <w:r>
        <w:rPr>
          <w:rStyle w:val="None"/>
          <w:rFonts w:ascii="Open Sans Semibold" w:hAnsi="Open Sans Semibold"/>
          <w:b w:val="0"/>
          <w:bCs w:val="0"/>
          <w:i w:val="1"/>
          <w:iCs w:val="1"/>
          <w:outline w:val="0"/>
          <w:color w:val="000000"/>
          <w:sz w:val="24"/>
          <w:szCs w:val="24"/>
          <w:u w:color="000000"/>
          <w:rtl w:val="0"/>
          <w:lang w:val="it-IT"/>
          <w14:textFill>
            <w14:solidFill>
              <w14:srgbClr w14:val="000000"/>
            </w14:solidFill>
          </w14:textFill>
        </w:rPr>
        <w:t>Criterion met</w:t>
      </w:r>
      <w:r>
        <w:rPr>
          <w:rStyle w:val="None"/>
          <w:b w:val="0"/>
          <w:bCs w:val="0"/>
          <w:outline w:val="0"/>
          <w:color w:val="000000"/>
          <w:sz w:val="24"/>
          <w:szCs w:val="24"/>
          <w:u w:color="000000"/>
          <w:rtl w:val="0"/>
          <w:lang w:val="en-US"/>
          <w14:textFill>
            <w14:solidFill>
              <w14:srgbClr w14:val="000000"/>
            </w14:solidFill>
          </w14:textFill>
        </w:rPr>
        <w:t xml:space="preserve"> (the GRADE certainty in the evidence for all essential outcomes is lower than </w:t>
      </w:r>
      <w:r>
        <w:rPr>
          <w:rStyle w:val="None"/>
          <w:b w:val="0"/>
          <w:bCs w:val="0"/>
          <w:outline w:val="0"/>
          <w:color w:val="000000"/>
          <w:sz w:val="24"/>
          <w:szCs w:val="24"/>
          <w:u w:color="000000"/>
          <w:rtl w:val="0"/>
          <w:lang w:val="en-US"/>
          <w14:textFill>
            <w14:solidFill>
              <w14:srgbClr w14:val="000000"/>
            </w14:solidFill>
          </w14:textFill>
        </w:rPr>
        <w:t>‘</w:t>
      </w:r>
      <w:r>
        <w:rPr>
          <w:rStyle w:val="None"/>
          <w:b w:val="0"/>
          <w:bCs w:val="0"/>
          <w:outline w:val="0"/>
          <w:color w:val="000000"/>
          <w:sz w:val="24"/>
          <w:szCs w:val="24"/>
          <w:u w:color="000000"/>
          <w:rtl w:val="0"/>
          <w:lang w:val="en-US"/>
          <w14:textFill>
            <w14:solidFill>
              <w14:srgbClr w14:val="000000"/>
            </w14:solidFill>
          </w14:textFill>
        </w:rPr>
        <w:t>high</w:t>
      </w:r>
      <w:r>
        <w:rPr>
          <w:rStyle w:val="None"/>
          <w:b w:val="0"/>
          <w:bCs w:val="0"/>
          <w:outline w:val="0"/>
          <w:color w:val="000000"/>
          <w:sz w:val="24"/>
          <w:szCs w:val="24"/>
          <w:u w:color="000000"/>
          <w:rtl w:val="0"/>
          <w:lang w:val="en-US"/>
          <w14:textFill>
            <w14:solidFill>
              <w14:srgbClr w14:val="000000"/>
            </w14:solidFill>
          </w14:textFill>
        </w:rPr>
        <w:t>’</w:t>
      </w:r>
      <w:r>
        <w:rPr>
          <w:rStyle w:val="None"/>
          <w:b w:val="0"/>
          <w:bCs w:val="0"/>
          <w:outline w:val="0"/>
          <w:color w:val="000000"/>
          <w:sz w:val="24"/>
          <w:szCs w:val="24"/>
          <w:u w:color="000000"/>
          <w:rtl w:val="0"/>
          <w:lang w:val="en-US"/>
          <w14:textFill>
            <w14:solidFill>
              <w14:srgbClr w14:val="000000"/>
            </w14:solidFill>
          </w14:textFill>
        </w:rPr>
        <w:t xml:space="preserve">). </w:t>
      </w: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r>
        <w:rPr>
          <w:rStyle w:val="None"/>
          <w:outline w:val="0"/>
          <w:color w:val="000000"/>
          <w:sz w:val="24"/>
          <w:szCs w:val="24"/>
          <w:u w:color="000000"/>
          <w:rtl w:val="0"/>
          <w:lang w:val="en-US"/>
          <w14:textFill>
            <w14:solidFill>
              <w14:srgbClr w14:val="000000"/>
            </w14:solidFill>
          </w14:textFill>
        </w:rPr>
        <w:t>Cumulative evidence</w:t>
      </w:r>
      <w:r>
        <w:rPr>
          <w:rStyle w:val="None"/>
          <w:b w:val="0"/>
          <w:bCs w:val="0"/>
          <w:outline w:val="0"/>
          <w:color w:val="000000"/>
          <w:sz w:val="24"/>
          <w:szCs w:val="24"/>
          <w:u w:color="000000"/>
          <w:rtl w:val="0"/>
          <w:lang w:val="en-US"/>
          <w14:textFill>
            <w14:solidFill>
              <w14:srgbClr w14:val="000000"/>
            </w14:solidFill>
          </w14:textFill>
        </w:rPr>
        <w:t xml:space="preserve">–  </w:t>
      </w:r>
      <w:r>
        <w:rPr>
          <w:rStyle w:val="None"/>
          <w:b w:val="0"/>
          <w:bCs w:val="0"/>
          <w:outline w:val="0"/>
          <w:color w:val="000000"/>
          <w:sz w:val="24"/>
          <w:szCs w:val="24"/>
          <w:u w:color="000000"/>
          <w:rtl w:val="0"/>
          <w:lang w:val="en-US"/>
          <w14:textFill>
            <w14:solidFill>
              <w14:srgbClr w14:val="000000"/>
            </w14:solidFill>
          </w14:textFill>
        </w:rPr>
        <w:t xml:space="preserve">There </w:t>
      </w:r>
      <w:r>
        <w:rPr>
          <w:rStyle w:val="None"/>
          <w:b w:val="0"/>
          <w:bCs w:val="0"/>
          <w:outline w:val="0"/>
          <w:color w:val="000000"/>
          <w:sz w:val="24"/>
          <w:szCs w:val="24"/>
          <w:u w:color="000000"/>
          <w:rtl w:val="0"/>
          <w:lang w:val="en-US"/>
          <w14:textFill>
            <w14:solidFill>
              <w14:srgbClr w14:val="000000"/>
            </w14:solidFill>
          </w14:textFill>
        </w:rPr>
        <w:t>is only one</w:t>
      </w:r>
      <w:r>
        <w:rPr>
          <w:rStyle w:val="None"/>
          <w:b w:val="0"/>
          <w:bCs w:val="0"/>
          <w:outline w:val="0"/>
          <w:color w:val="000000"/>
          <w:sz w:val="24"/>
          <w:szCs w:val="24"/>
          <w:u w:color="000000"/>
          <w:rtl w:val="0"/>
          <w:lang w:val="en-US"/>
          <w14:textFill>
            <w14:solidFill>
              <w14:srgbClr w14:val="000000"/>
            </w14:solidFill>
          </w14:textFill>
        </w:rPr>
        <w:t xml:space="preserve"> trial </w:t>
      </w:r>
      <w:r>
        <w:rPr>
          <w:rStyle w:val="None"/>
          <w:b w:val="0"/>
          <w:bCs w:val="0"/>
          <w:outline w:val="0"/>
          <w:color w:val="000000"/>
          <w:sz w:val="24"/>
          <w:szCs w:val="24"/>
          <w:u w:color="000000"/>
          <w:rtl w:val="0"/>
          <w:lang w:val="en-US"/>
          <w14:textFill>
            <w14:solidFill>
              <w14:srgbClr w14:val="000000"/>
            </w14:solidFill>
          </w14:textFill>
        </w:rPr>
        <w:t>and it is impossible to conclude that th</w:t>
      </w:r>
      <w:r>
        <w:rPr>
          <w:rStyle w:val="None"/>
          <w:b w:val="0"/>
          <w:bCs w:val="0"/>
          <w:outline w:val="0"/>
          <w:color w:val="000000"/>
          <w:sz w:val="24"/>
          <w:szCs w:val="24"/>
          <w:u w:color="000000"/>
          <w:rtl w:val="0"/>
          <w:lang w:val="en-US"/>
          <w14:textFill>
            <w14:solidFill>
              <w14:srgbClr w14:val="000000"/>
            </w14:solidFill>
          </w14:textFill>
        </w:rPr>
        <w:t>e cumula</w:t>
      </w:r>
      <w:r>
        <w:rPr>
          <w:rStyle w:val="None"/>
          <w:outline w:val="0"/>
          <w:color w:val="000000"/>
          <w:u w:color="000000"/>
          <w:lang w:val="en-US"/>
          <w14:textFill>
            <w14:solidFill>
              <w14:srgbClr w14:val="000000"/>
            </w14:solidFill>
          </w14:textFill>
        </w:rPr>
        <w:drawing>
          <wp:anchor distT="0" distB="0" distL="0" distR="0" simplePos="0" relativeHeight="251659264" behindDoc="0" locked="0" layoutInCell="1" allowOverlap="1">
            <wp:simplePos x="0" y="0"/>
            <wp:positionH relativeFrom="page">
              <wp:posOffset>2670431</wp:posOffset>
            </wp:positionH>
            <wp:positionV relativeFrom="page">
              <wp:posOffset>0</wp:posOffset>
            </wp:positionV>
            <wp:extent cx="2219135" cy="780459"/>
            <wp:effectExtent l="0" t="0" r="0" b="0"/>
            <wp:wrapNone/>
            <wp:docPr id="1073741825" name="officeArt object" descr="trialforge-colour.jpg"/>
            <wp:cNvGraphicFramePr/>
            <a:graphic xmlns:a="http://schemas.openxmlformats.org/drawingml/2006/main">
              <a:graphicData uri="http://schemas.openxmlformats.org/drawingml/2006/picture">
                <pic:pic xmlns:pic="http://schemas.openxmlformats.org/drawingml/2006/picture">
                  <pic:nvPicPr>
                    <pic:cNvPr id="1073741825" name="trialforge-colour.jpg" descr="trialforge-colour.jpg"/>
                    <pic:cNvPicPr>
                      <a:picLocks noChangeAspect="1"/>
                    </pic:cNvPicPr>
                  </pic:nvPicPr>
                  <pic:blipFill>
                    <a:blip r:embed="rId4">
                      <a:extLst/>
                    </a:blip>
                    <a:stretch>
                      <a:fillRect/>
                    </a:stretch>
                  </pic:blipFill>
                  <pic:spPr>
                    <a:xfrm>
                      <a:off x="0" y="0"/>
                      <a:ext cx="2219135" cy="780459"/>
                    </a:xfrm>
                    <a:prstGeom prst="rect">
                      <a:avLst/>
                    </a:prstGeom>
                    <a:ln w="12700" cap="flat">
                      <a:noFill/>
                      <a:miter lim="400000"/>
                    </a:ln>
                    <a:effectLst/>
                  </pic:spPr>
                </pic:pic>
              </a:graphicData>
            </a:graphic>
          </wp:anchor>
        </w:drawing>
      </w:r>
      <w:r>
        <w:rPr>
          <w:rStyle w:val="None"/>
          <w:outline w:val="0"/>
          <w:color w:val="000000"/>
          <w:u w:color="000000"/>
          <w:lang w:val="en-US"/>
          <w14:textFill>
            <w14:solidFill>
              <w14:srgbClr w14:val="000000"/>
            </w14:solidFill>
          </w14:textFill>
        </w:rPr>
        <w:drawing>
          <wp:anchor distT="0" distB="0" distL="0" distR="0" simplePos="0" relativeHeight="251660288" behindDoc="0" locked="0" layoutInCell="1" allowOverlap="1">
            <wp:simplePos x="0" y="0"/>
            <wp:positionH relativeFrom="page">
              <wp:posOffset>8067361</wp:posOffset>
            </wp:positionH>
            <wp:positionV relativeFrom="page">
              <wp:posOffset>635296</wp:posOffset>
            </wp:positionV>
            <wp:extent cx="2006239" cy="705585"/>
            <wp:effectExtent l="0" t="0" r="0" b="0"/>
            <wp:wrapSquare wrapText="bothSides" distL="0" distR="0" distT="0" distB="0"/>
            <wp:docPr id="1073741826" name="officeArt object" descr="trialforge-colour.jpg"/>
            <wp:cNvGraphicFramePr/>
            <a:graphic xmlns:a="http://schemas.openxmlformats.org/drawingml/2006/main">
              <a:graphicData uri="http://schemas.openxmlformats.org/drawingml/2006/picture">
                <pic:pic xmlns:pic="http://schemas.openxmlformats.org/drawingml/2006/picture">
                  <pic:nvPicPr>
                    <pic:cNvPr id="1073741826" name="trialforge-colour.jpg" descr="trialforge-colour.jpg"/>
                    <pic:cNvPicPr>
                      <a:picLocks noChangeAspect="1"/>
                    </pic:cNvPicPr>
                  </pic:nvPicPr>
                  <pic:blipFill>
                    <a:blip r:embed="rId4">
                      <a:extLst/>
                    </a:blip>
                    <a:stretch>
                      <a:fillRect/>
                    </a:stretch>
                  </pic:blipFill>
                  <pic:spPr>
                    <a:xfrm>
                      <a:off x="0" y="0"/>
                      <a:ext cx="2006239" cy="705585"/>
                    </a:xfrm>
                    <a:prstGeom prst="rect">
                      <a:avLst/>
                    </a:prstGeom>
                    <a:ln w="12700" cap="flat">
                      <a:noFill/>
                      <a:miter lim="400000"/>
                    </a:ln>
                    <a:effectLst/>
                  </pic:spPr>
                </pic:pic>
              </a:graphicData>
            </a:graphic>
          </wp:anchor>
        </w:drawing>
      </w:r>
      <w:r>
        <w:rPr>
          <w:rStyle w:val="None"/>
          <w:b w:val="0"/>
          <w:bCs w:val="0"/>
          <w:outline w:val="0"/>
          <w:color w:val="000000"/>
          <w:sz w:val="24"/>
          <w:szCs w:val="24"/>
          <w:u w:color="000000"/>
          <w:rtl w:val="0"/>
          <w:lang w:val="en-US"/>
          <w14:textFill>
            <w14:solidFill>
              <w14:srgbClr w14:val="000000"/>
            </w14:solidFill>
          </w14:textFill>
        </w:rPr>
        <w:t xml:space="preserve">tive meta-analysis has converged.  </w:t>
      </w:r>
      <w:r>
        <w:rPr>
          <w:rStyle w:val="None"/>
          <w:rFonts w:ascii="Open Sans Semibold" w:hAnsi="Open Sans Semibold"/>
          <w:b w:val="0"/>
          <w:bCs w:val="0"/>
          <w:i w:val="1"/>
          <w:iCs w:val="1"/>
          <w:outline w:val="0"/>
          <w:color w:val="000000"/>
          <w:sz w:val="24"/>
          <w:szCs w:val="24"/>
          <w:u w:color="000000"/>
          <w:rtl w:val="0"/>
          <w:lang w:val="it-IT"/>
          <w14:textFill>
            <w14:solidFill>
              <w14:srgbClr w14:val="000000"/>
            </w14:solidFill>
          </w14:textFill>
        </w:rPr>
        <w:t>Criterion met</w:t>
      </w:r>
      <w:r>
        <w:rPr>
          <w:rStyle w:val="None"/>
          <w:b w:val="0"/>
          <w:bCs w:val="0"/>
          <w:outline w:val="0"/>
          <w:color w:val="000000"/>
          <w:sz w:val="24"/>
          <w:szCs w:val="24"/>
          <w:u w:color="000000"/>
          <w:rtl w:val="0"/>
          <w:lang w:val="en-US"/>
          <w14:textFill>
            <w14:solidFill>
              <w14:srgbClr w14:val="000000"/>
            </w14:solidFill>
          </w14:textFill>
        </w:rPr>
        <w:t xml:space="preserve"> (the effect estimate for each essential outcome has not converged).</w:t>
      </w: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r>
        <w:rPr>
          <w:rStyle w:val="None"/>
          <w:outline w:val="0"/>
          <w:color w:val="000000"/>
          <w:sz w:val="24"/>
          <w:szCs w:val="24"/>
          <w:u w:color="000000"/>
          <w:rtl w:val="0"/>
          <w:lang w:val="fr-FR"/>
          <w14:textFill>
            <w14:solidFill>
              <w14:srgbClr w14:val="000000"/>
            </w14:solidFill>
          </w14:textFill>
        </w:rPr>
        <w:t>Context</w:t>
      </w:r>
      <w:r>
        <w:rPr>
          <w:rStyle w:val="None"/>
          <w:b w:val="0"/>
          <w:bCs w:val="0"/>
          <w:outline w:val="0"/>
          <w:color w:val="000000"/>
          <w:sz w:val="24"/>
          <w:szCs w:val="24"/>
          <w:u w:color="000000"/>
          <w:rtl w:val="0"/>
          <w:lang w:val="en-US"/>
          <w14:textFill>
            <w14:solidFill>
              <w14:srgbClr w14:val="000000"/>
            </w14:solidFill>
          </w14:textFill>
        </w:rPr>
        <w:t xml:space="preserve">– </w:t>
      </w:r>
      <w:r>
        <w:rPr>
          <w:rStyle w:val="None"/>
          <w:b w:val="0"/>
          <w:bCs w:val="0"/>
          <w:outline w:val="0"/>
          <w:color w:val="000000"/>
          <w:sz w:val="24"/>
          <w:szCs w:val="24"/>
          <w:u w:color="000000"/>
          <w:rtl w:val="0"/>
          <w:lang w:val="en-US"/>
          <w14:textFill>
            <w14:solidFill>
              <w14:srgbClr w14:val="000000"/>
            </w14:solidFill>
          </w14:textFill>
        </w:rPr>
        <w:t xml:space="preserve">The PICOT for the available evidence is: </w:t>
      </w:r>
    </w:p>
    <w:p>
      <w:pPr>
        <w:pStyle w:val="Body A"/>
        <w:numPr>
          <w:ilvl w:val="0"/>
          <w:numId w:val="4"/>
        </w:numPr>
        <w:suppressAutoHyphens w:val="1"/>
        <w:bidi w:val="0"/>
        <w:spacing w:line="240" w:lineRule="auto"/>
        <w:ind w:right="0"/>
        <w:jc w:val="left"/>
        <w:rPr>
          <w:b w:val="0"/>
          <w:bCs w:val="0"/>
          <w:outline w:val="0"/>
          <w:color w:val="000000"/>
          <w:sz w:val="24"/>
          <w:szCs w:val="24"/>
          <w:rtl w:val="0"/>
          <w:lang w:val="en-US"/>
          <w14:textFill>
            <w14:solidFill>
              <w14:srgbClr w14:val="000000"/>
            </w14:solidFill>
          </w14:textFill>
        </w:rPr>
      </w:pPr>
      <w:r>
        <w:rPr>
          <w:rStyle w:val="None"/>
          <w:b w:val="1"/>
          <w:bCs w:val="1"/>
          <w:outline w:val="0"/>
          <w:color w:val="000000"/>
          <w:sz w:val="24"/>
          <w:szCs w:val="24"/>
          <w:u w:color="000000"/>
          <w:rtl w:val="0"/>
          <w:lang w:val="en-US"/>
          <w14:textFill>
            <w14:solidFill>
              <w14:srgbClr w14:val="000000"/>
            </w14:solidFill>
          </w14:textFill>
        </w:rPr>
        <w:t>P</w:t>
      </w:r>
      <w:r>
        <w:rPr>
          <w:rStyle w:val="None"/>
          <w:b w:val="0"/>
          <w:bCs w:val="0"/>
          <w:outline w:val="0"/>
          <w:color w:val="000000"/>
          <w:sz w:val="24"/>
          <w:szCs w:val="24"/>
          <w:u w:color="000000"/>
          <w:rtl w:val="0"/>
          <w:lang w:val="en-US"/>
          <w14:textFill>
            <w14:solidFill>
              <w14:srgbClr w14:val="000000"/>
            </w14:solidFill>
          </w14:textFill>
        </w:rPr>
        <w:t xml:space="preserve"> – </w:t>
      </w:r>
      <w:r>
        <w:rPr>
          <w:rStyle w:val="None"/>
          <w:b w:val="0"/>
          <w:bCs w:val="0"/>
          <w:outline w:val="0"/>
          <w:color w:val="000000"/>
          <w:sz w:val="24"/>
          <w:szCs w:val="24"/>
          <w:u w:color="000000"/>
          <w:rtl w:val="0"/>
          <w:lang w:val="en-US"/>
          <w14:textFill>
            <w14:solidFill>
              <w14:srgbClr w14:val="000000"/>
            </w14:solidFill>
          </w14:textFill>
        </w:rPr>
        <w:t>One trial was done</w:t>
      </w:r>
      <w:r>
        <w:rPr>
          <w:rStyle w:val="None"/>
          <w:b w:val="0"/>
          <w:bCs w:val="0"/>
          <w:outline w:val="0"/>
          <w:color w:val="000000"/>
          <w:sz w:val="24"/>
          <w:szCs w:val="24"/>
          <w:u w:color="000000"/>
          <w:rtl w:val="0"/>
          <w:lang w:val="en-US"/>
          <w14:textFill>
            <w14:solidFill>
              <w14:srgbClr w14:val="000000"/>
            </w14:solidFill>
          </w14:textFill>
        </w:rPr>
        <w:t xml:space="preserve"> in the UK </w:t>
      </w:r>
      <w:r>
        <w:rPr>
          <w:rStyle w:val="None"/>
          <w:b w:val="0"/>
          <w:bCs w:val="0"/>
          <w:outline w:val="0"/>
          <w:color w:val="000000"/>
          <w:sz w:val="24"/>
          <w:szCs w:val="24"/>
          <w:u w:color="000000"/>
          <w:rtl w:val="0"/>
          <w:lang w:val="en-US"/>
          <w14:textFill>
            <w14:solidFill>
              <w14:srgbClr w14:val="000000"/>
            </w14:solidFill>
          </w14:textFill>
        </w:rPr>
        <w:t>in</w:t>
      </w:r>
      <w:r>
        <w:rPr>
          <w:rStyle w:val="None"/>
          <w:b w:val="0"/>
          <w:bCs w:val="0"/>
          <w:outline w:val="0"/>
          <w:color w:val="000000"/>
          <w:sz w:val="24"/>
          <w:szCs w:val="24"/>
          <w:u w:color="000000"/>
          <w:rtl w:val="0"/>
          <w:lang w:val="en-US"/>
          <w14:textFill>
            <w14:solidFill>
              <w14:srgbClr w14:val="000000"/>
            </w14:solidFill>
          </w14:textFill>
        </w:rPr>
        <w:t xml:space="preserve"> 20</w:t>
      </w:r>
      <w:r>
        <w:rPr>
          <w:rStyle w:val="None"/>
          <w:b w:val="0"/>
          <w:bCs w:val="0"/>
          <w:outline w:val="0"/>
          <w:color w:val="000000"/>
          <w:sz w:val="24"/>
          <w:szCs w:val="24"/>
          <w:u w:color="000000"/>
          <w:rtl w:val="0"/>
          <w:lang w:val="en-US"/>
          <w14:textFill>
            <w14:solidFill>
              <w14:srgbClr w14:val="000000"/>
            </w14:solidFill>
          </w14:textFill>
        </w:rPr>
        <w:t xml:space="preserve">12, </w:t>
      </w:r>
      <w:r>
        <w:rPr>
          <w:rStyle w:val="None"/>
          <w:b w:val="0"/>
          <w:bCs w:val="0"/>
          <w:outline w:val="0"/>
          <w:color w:val="000000"/>
          <w:sz w:val="24"/>
          <w:szCs w:val="24"/>
          <w:u w:color="000000"/>
          <w:rtl w:val="0"/>
          <w:lang w:val="en-US"/>
          <w14:textFill>
            <w14:solidFill>
              <w14:srgbClr w14:val="000000"/>
            </w14:solidFill>
          </w14:textFill>
        </w:rPr>
        <w:t xml:space="preserve">with a total of </w:t>
      </w:r>
      <w:r>
        <w:rPr>
          <w:rStyle w:val="None"/>
          <w:b w:val="0"/>
          <w:bCs w:val="0"/>
          <w:outline w:val="0"/>
          <w:color w:val="000000"/>
          <w:sz w:val="24"/>
          <w:szCs w:val="24"/>
          <w:u w:color="000000"/>
          <w:rtl w:val="0"/>
          <w:lang w:val="en-US"/>
          <w14:textFill>
            <w14:solidFill>
              <w14:srgbClr w14:val="000000"/>
            </w14:solidFill>
          </w14:textFill>
        </w:rPr>
        <w:t xml:space="preserve">1760 </w:t>
      </w:r>
      <w:r>
        <w:rPr>
          <w:rStyle w:val="None"/>
          <w:b w:val="0"/>
          <w:bCs w:val="0"/>
          <w:outline w:val="0"/>
          <w:color w:val="000000"/>
          <w:sz w:val="24"/>
          <w:szCs w:val="24"/>
          <w:u w:color="000000"/>
          <w:rtl w:val="0"/>
          <w:lang w:val="en-US"/>
          <w14:textFill>
            <w14:solidFill>
              <w14:srgbClr w14:val="000000"/>
            </w14:solidFill>
          </w14:textFill>
        </w:rPr>
        <w:t>participants</w:t>
      </w:r>
      <w:r>
        <w:rPr>
          <w:rStyle w:val="None"/>
          <w:b w:val="0"/>
          <w:bCs w:val="0"/>
          <w:outline w:val="0"/>
          <w:color w:val="000000"/>
          <w:sz w:val="24"/>
          <w:szCs w:val="24"/>
          <w:u w:color="000000"/>
          <w:rtl w:val="0"/>
          <w:lang w:val="en-US"/>
          <w14:textFill>
            <w14:solidFill>
              <w14:srgbClr w14:val="000000"/>
            </w14:solidFill>
          </w14:textFill>
        </w:rPr>
        <w:t xml:space="preserve"> (invitations)</w:t>
      </w:r>
      <w:r>
        <w:rPr>
          <w:rStyle w:val="None"/>
          <w:b w:val="0"/>
          <w:bCs w:val="0"/>
          <w:outline w:val="0"/>
          <w:color w:val="000000"/>
          <w:sz w:val="24"/>
          <w:szCs w:val="24"/>
          <w:u w:color="000000"/>
          <w:rtl w:val="0"/>
          <w:lang w:val="en-US"/>
          <w14:textFill>
            <w14:solidFill>
              <w14:srgbClr w14:val="000000"/>
            </w14:solidFill>
          </w14:textFill>
        </w:rPr>
        <w:t xml:space="preserve">.  </w:t>
      </w:r>
      <w:r>
        <w:rPr>
          <w:rStyle w:val="None"/>
          <w:b w:val="0"/>
          <w:bCs w:val="0"/>
          <w:outline w:val="0"/>
          <w:color w:val="000000"/>
          <w:sz w:val="24"/>
          <w:szCs w:val="24"/>
          <w:u w:color="000000"/>
          <w:rtl w:val="0"/>
          <w:lang w:val="en-US"/>
          <w14:textFill>
            <w14:solidFill>
              <w14:srgbClr w14:val="000000"/>
            </w14:solidFill>
          </w14:textFill>
        </w:rPr>
        <w:t>All participants were general practitioners in Scotland.</w:t>
      </w:r>
      <w:r>
        <w:rPr>
          <w:rStyle w:val="None"/>
          <w:b w:val="0"/>
          <w:bCs w:val="0"/>
          <w:outline w:val="0"/>
          <w:color w:val="000000"/>
          <w:sz w:val="24"/>
          <w:szCs w:val="24"/>
          <w:u w:color="000000"/>
          <w:rtl w:val="0"/>
          <w:lang w:val="en-US"/>
          <w14:textFill>
            <w14:solidFill>
              <w14:srgbClr w14:val="000000"/>
            </w14:solidFill>
          </w14:textFill>
        </w:rPr>
        <w:t xml:space="preserve"> </w:t>
      </w:r>
    </w:p>
    <w:p>
      <w:pPr>
        <w:pStyle w:val="Body A"/>
        <w:numPr>
          <w:ilvl w:val="0"/>
          <w:numId w:val="4"/>
        </w:numPr>
        <w:suppressAutoHyphens w:val="1"/>
        <w:bidi w:val="0"/>
        <w:spacing w:line="240" w:lineRule="auto"/>
        <w:ind w:right="0"/>
        <w:jc w:val="left"/>
        <w:rPr>
          <w:b w:val="0"/>
          <w:bCs w:val="0"/>
          <w:outline w:val="0"/>
          <w:color w:val="000000"/>
          <w:sz w:val="24"/>
          <w:szCs w:val="24"/>
          <w:rtl w:val="0"/>
          <w:lang w:val="en-US"/>
          <w14:textFill>
            <w14:solidFill>
              <w14:srgbClr w14:val="000000"/>
            </w14:solidFill>
          </w14:textFill>
        </w:rPr>
      </w:pPr>
      <w:r>
        <w:rPr>
          <w:rStyle w:val="None"/>
          <w:b w:val="1"/>
          <w:bCs w:val="1"/>
          <w:outline w:val="0"/>
          <w:color w:val="000000"/>
          <w:sz w:val="24"/>
          <w:szCs w:val="24"/>
          <w:u w:color="000000"/>
          <w:rtl w:val="0"/>
          <w:lang w:val="en-US"/>
          <w14:textFill>
            <w14:solidFill>
              <w14:srgbClr w14:val="000000"/>
            </w14:solidFill>
          </w14:textFill>
        </w:rPr>
        <w:t>I</w:t>
      </w:r>
      <w:r>
        <w:rPr>
          <w:rStyle w:val="None"/>
          <w:b w:val="0"/>
          <w:bCs w:val="0"/>
          <w:outline w:val="0"/>
          <w:color w:val="000000"/>
          <w:sz w:val="24"/>
          <w:szCs w:val="24"/>
          <w:u w:color="000000"/>
          <w:rtl w:val="0"/>
          <w:lang w:val="en-US"/>
          <w14:textFill>
            <w14:solidFill>
              <w14:srgbClr w14:val="000000"/>
            </w14:solidFill>
          </w14:textFill>
        </w:rPr>
        <w:t xml:space="preserve"> – </w:t>
      </w:r>
      <w:r>
        <w:rPr>
          <w:rStyle w:val="None"/>
          <w:b w:val="0"/>
          <w:bCs w:val="0"/>
          <w:outline w:val="0"/>
          <w:color w:val="000000"/>
          <w:sz w:val="24"/>
          <w:szCs w:val="24"/>
          <w:u w:color="000000"/>
          <w:rtl w:val="0"/>
          <w:lang w:val="en-US"/>
          <w14:textFill>
            <w14:solidFill>
              <w14:srgbClr w14:val="000000"/>
            </w14:solidFill>
          </w14:textFill>
        </w:rPr>
        <w:t xml:space="preserve">The host trial intervention </w:t>
      </w:r>
      <w:r>
        <w:rPr>
          <w:rStyle w:val="None"/>
          <w:b w:val="0"/>
          <w:bCs w:val="0"/>
          <w:outline w:val="0"/>
          <w:color w:val="000000"/>
          <w:sz w:val="24"/>
          <w:szCs w:val="24"/>
          <w:u w:color="000000"/>
          <w:rtl w:val="0"/>
          <w:lang w:val="en-US"/>
          <w14:textFill>
            <w14:solidFill>
              <w14:srgbClr w14:val="000000"/>
            </w14:solidFill>
          </w14:textFill>
        </w:rPr>
        <w:t xml:space="preserve">was an online behaviour change intervention (action plan) to improve antibiotic prescribing for respiratory infections. </w:t>
      </w:r>
    </w:p>
    <w:p>
      <w:pPr>
        <w:pStyle w:val="Body A"/>
        <w:numPr>
          <w:ilvl w:val="0"/>
          <w:numId w:val="4"/>
        </w:numPr>
        <w:suppressAutoHyphens w:val="1"/>
        <w:bidi w:val="0"/>
        <w:spacing w:line="240" w:lineRule="auto"/>
        <w:ind w:right="0"/>
        <w:jc w:val="left"/>
        <w:rPr>
          <w:b w:val="0"/>
          <w:bCs w:val="0"/>
          <w:outline w:val="0"/>
          <w:color w:val="000000"/>
          <w:sz w:val="24"/>
          <w:szCs w:val="24"/>
          <w:rtl w:val="0"/>
          <w:lang w:val="en-US"/>
          <w14:textFill>
            <w14:solidFill>
              <w14:srgbClr w14:val="000000"/>
            </w14:solidFill>
          </w14:textFill>
        </w:rPr>
      </w:pPr>
      <w:r>
        <w:rPr>
          <w:rStyle w:val="None"/>
          <w:b w:val="1"/>
          <w:bCs w:val="1"/>
          <w:outline w:val="0"/>
          <w:color w:val="000000"/>
          <w:sz w:val="24"/>
          <w:szCs w:val="24"/>
          <w:u w:color="000000"/>
          <w:rtl w:val="0"/>
          <w:lang w:val="en-US"/>
          <w14:textFill>
            <w14:solidFill>
              <w14:srgbClr w14:val="000000"/>
            </w14:solidFill>
          </w14:textFill>
        </w:rPr>
        <w:t>C</w:t>
      </w:r>
      <w:r>
        <w:rPr>
          <w:rStyle w:val="None"/>
          <w:b w:val="0"/>
          <w:bCs w:val="0"/>
          <w:outline w:val="0"/>
          <w:color w:val="000000"/>
          <w:sz w:val="24"/>
          <w:szCs w:val="24"/>
          <w:u w:color="000000"/>
          <w:rtl w:val="0"/>
          <w:lang w:val="en-US"/>
          <w14:textFill>
            <w14:solidFill>
              <w14:srgbClr w14:val="000000"/>
            </w14:solidFill>
          </w14:textFill>
        </w:rPr>
        <w:t xml:space="preserve"> - The host trial comparator</w:t>
      </w:r>
      <w:r>
        <w:rPr>
          <w:rStyle w:val="None"/>
          <w:b w:val="0"/>
          <w:bCs w:val="0"/>
          <w:outline w:val="0"/>
          <w:color w:val="000000"/>
          <w:sz w:val="24"/>
          <w:szCs w:val="24"/>
          <w:u w:color="000000"/>
          <w:rtl w:val="0"/>
          <w:lang w:val="en-US"/>
          <w14:textFill>
            <w14:solidFill>
              <w14:srgbClr w14:val="000000"/>
            </w14:solidFill>
          </w14:textFill>
        </w:rPr>
        <w:t xml:space="preserve">s were a different type of message about antibiotic prescribing (persuasive messaging) and nothing. </w:t>
      </w:r>
    </w:p>
    <w:p>
      <w:pPr>
        <w:pStyle w:val="Body A"/>
        <w:numPr>
          <w:ilvl w:val="0"/>
          <w:numId w:val="4"/>
        </w:numPr>
        <w:suppressAutoHyphens w:val="1"/>
        <w:bidi w:val="0"/>
        <w:spacing w:line="240" w:lineRule="auto"/>
        <w:ind w:right="0"/>
        <w:jc w:val="left"/>
        <w:rPr>
          <w:b w:val="0"/>
          <w:bCs w:val="0"/>
          <w:outline w:val="0"/>
          <w:color w:val="000000"/>
          <w:sz w:val="24"/>
          <w:szCs w:val="24"/>
          <w:rtl w:val="0"/>
          <w:lang w:val="en-US"/>
          <w14:textFill>
            <w14:solidFill>
              <w14:srgbClr w14:val="000000"/>
            </w14:solidFill>
          </w14:textFill>
        </w:rPr>
      </w:pPr>
      <w:r>
        <w:rPr>
          <w:rStyle w:val="None"/>
          <w:b w:val="1"/>
          <w:bCs w:val="1"/>
          <w:outline w:val="0"/>
          <w:color w:val="000000"/>
          <w:sz w:val="24"/>
          <w:szCs w:val="24"/>
          <w:u w:color="000000"/>
          <w:rtl w:val="0"/>
          <w:lang w:val="en-US"/>
          <w14:textFill>
            <w14:solidFill>
              <w14:srgbClr w14:val="000000"/>
            </w14:solidFill>
          </w14:textFill>
        </w:rPr>
        <w:t>O</w:t>
      </w:r>
      <w:r>
        <w:rPr>
          <w:rStyle w:val="None"/>
          <w:b w:val="0"/>
          <w:bCs w:val="0"/>
          <w:outline w:val="0"/>
          <w:color w:val="000000"/>
          <w:sz w:val="24"/>
          <w:szCs w:val="24"/>
          <w:u w:color="000000"/>
          <w:rtl w:val="0"/>
          <w:lang w:val="en-US"/>
          <w14:textFill>
            <w14:solidFill>
              <w14:srgbClr w14:val="000000"/>
            </w14:solidFill>
          </w14:textFill>
        </w:rPr>
        <w:t xml:space="preserve"> – </w:t>
      </w:r>
      <w:r>
        <w:rPr>
          <w:rStyle w:val="None"/>
          <w:b w:val="0"/>
          <w:bCs w:val="0"/>
          <w:outline w:val="0"/>
          <w:color w:val="000000"/>
          <w:sz w:val="24"/>
          <w:szCs w:val="24"/>
          <w:u w:color="000000"/>
          <w:rtl w:val="0"/>
          <w:lang w:val="en-US"/>
          <w14:textFill>
            <w14:solidFill>
              <w14:srgbClr w14:val="000000"/>
            </w14:solidFill>
          </w14:textFill>
        </w:rPr>
        <w:t>Recruitment</w:t>
      </w:r>
      <w:r>
        <w:rPr>
          <w:rStyle w:val="None"/>
          <w:b w:val="0"/>
          <w:bCs w:val="0"/>
          <w:outline w:val="0"/>
          <w:color w:val="000000"/>
          <w:sz w:val="24"/>
          <w:szCs w:val="24"/>
          <w:u w:color="000000"/>
          <w:rtl w:val="0"/>
          <w:lang w:val="en-US"/>
          <w14:textFill>
            <w14:solidFill>
              <w14:srgbClr w14:val="000000"/>
            </w14:solidFill>
          </w14:textFill>
        </w:rPr>
        <w:t xml:space="preserve"> to the host trial.  </w:t>
      </w:r>
      <w:r>
        <w:rPr>
          <w:rStyle w:val="None"/>
          <w:b w:val="0"/>
          <w:bCs w:val="0"/>
          <w:outline w:val="0"/>
          <w:color w:val="000000"/>
          <w:sz w:val="24"/>
          <w:szCs w:val="24"/>
          <w:u w:color="000000"/>
          <w:rtl w:val="0"/>
          <w:lang w:val="en-US"/>
          <w14:textFill>
            <w14:solidFill>
              <w14:srgbClr w14:val="000000"/>
            </w14:solidFill>
          </w14:textFill>
        </w:rPr>
        <w:t>Cost and time were also measured.</w:t>
      </w:r>
    </w:p>
    <w:p>
      <w:pPr>
        <w:pStyle w:val="Body A"/>
        <w:numPr>
          <w:ilvl w:val="0"/>
          <w:numId w:val="4"/>
        </w:numPr>
        <w:suppressAutoHyphens w:val="1"/>
        <w:bidi w:val="0"/>
        <w:spacing w:line="240" w:lineRule="auto"/>
        <w:ind w:right="0"/>
        <w:jc w:val="left"/>
        <w:rPr>
          <w:b w:val="0"/>
          <w:bCs w:val="0"/>
          <w:outline w:val="0"/>
          <w:color w:val="000000"/>
          <w:sz w:val="24"/>
          <w:szCs w:val="24"/>
          <w:rtl w:val="0"/>
          <w:lang w:val="en-US"/>
          <w14:textFill>
            <w14:solidFill>
              <w14:srgbClr w14:val="000000"/>
            </w14:solidFill>
          </w14:textFill>
        </w:rPr>
      </w:pPr>
      <w:r>
        <w:rPr>
          <w:rStyle w:val="None"/>
          <w:b w:val="1"/>
          <w:bCs w:val="1"/>
          <w:outline w:val="0"/>
          <w:color w:val="000000"/>
          <w:sz w:val="24"/>
          <w:szCs w:val="24"/>
          <w:u w:color="000000"/>
          <w:rtl w:val="0"/>
          <w:lang w:val="en-US"/>
          <w14:textFill>
            <w14:solidFill>
              <w14:srgbClr w14:val="000000"/>
            </w14:solidFill>
          </w14:textFill>
        </w:rPr>
        <w:t>T</w:t>
      </w:r>
      <w:r>
        <w:rPr>
          <w:rStyle w:val="None"/>
          <w:b w:val="0"/>
          <w:bCs w:val="0"/>
          <w:outline w:val="0"/>
          <w:color w:val="000000"/>
          <w:sz w:val="24"/>
          <w:szCs w:val="24"/>
          <w:u w:color="000000"/>
          <w:rtl w:val="0"/>
          <w:lang w:val="en-US"/>
          <w14:textFill>
            <w14:solidFill>
              <w14:srgbClr w14:val="000000"/>
            </w14:solidFill>
          </w14:textFill>
        </w:rPr>
        <w:t xml:space="preserve"> – </w:t>
      </w:r>
      <w:r>
        <w:rPr>
          <w:rStyle w:val="None"/>
          <w:b w:val="0"/>
          <w:bCs w:val="0"/>
          <w:outline w:val="0"/>
          <w:color w:val="000000"/>
          <w:sz w:val="24"/>
          <w:szCs w:val="24"/>
          <w:u w:color="000000"/>
          <w:rtl w:val="0"/>
          <w:lang w:val="en-US"/>
          <w14:textFill>
            <w14:solidFill>
              <w14:srgbClr w14:val="000000"/>
            </w14:solidFill>
          </w14:textFill>
        </w:rPr>
        <w:t>The trial is old now and attitudes to email versus paper invitations to trials may have changed.  Moreover, t</w:t>
      </w:r>
      <w:r>
        <w:rPr>
          <w:rStyle w:val="None"/>
          <w:b w:val="0"/>
          <w:bCs w:val="0"/>
          <w:outline w:val="0"/>
          <w:color w:val="000000"/>
          <w:sz w:val="24"/>
          <w:szCs w:val="24"/>
          <w:u w:color="000000"/>
          <w:rtl w:val="0"/>
          <w:lang w:val="en-US"/>
          <w14:textFill>
            <w14:solidFill>
              <w14:srgbClr w14:val="000000"/>
            </w14:solidFill>
          </w14:textFill>
        </w:rPr>
        <w:t>he host trial was itself was hypothetical (it used scenarios) although the evaluation of the invitations was not.</w:t>
      </w:r>
      <w:r>
        <w:rPr>
          <w:rStyle w:val="None"/>
          <w:b w:val="0"/>
          <w:bCs w:val="0"/>
          <w:outline w:val="0"/>
          <w:color w:val="000000"/>
          <w:sz w:val="24"/>
          <w:szCs w:val="24"/>
          <w:u w:color="000000"/>
          <w:rtl w:val="0"/>
          <w:lang w:val="en-US"/>
          <w14:textFill>
            <w14:solidFill>
              <w14:srgbClr w14:val="000000"/>
            </w14:solidFill>
          </w14:textFill>
        </w:rPr>
        <w:t xml:space="preserve"> </w:t>
      </w: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r>
        <w:rPr>
          <w:rStyle w:val="None"/>
          <w:b w:val="0"/>
          <w:bCs w:val="0"/>
          <w:outline w:val="0"/>
          <w:color w:val="000000"/>
          <w:sz w:val="24"/>
          <w:szCs w:val="24"/>
          <w:u w:color="000000"/>
          <w:rtl w:val="0"/>
          <w:lang w:val="en-US"/>
          <w14:textFill>
            <w14:solidFill>
              <w14:srgbClr w14:val="000000"/>
            </w14:solidFill>
          </w14:textFill>
        </w:rPr>
        <w:t xml:space="preserve">Considering the above, leads to </w:t>
      </w:r>
      <w:r>
        <w:rPr>
          <w:rStyle w:val="None"/>
          <w:rFonts w:ascii="Open Sans Semibold" w:hAnsi="Open Sans Semibold"/>
          <w:b w:val="0"/>
          <w:bCs w:val="0"/>
          <w:i w:val="1"/>
          <w:iCs w:val="1"/>
          <w:outline w:val="0"/>
          <w:color w:val="000000"/>
          <w:sz w:val="24"/>
          <w:szCs w:val="24"/>
          <w:u w:color="000000"/>
          <w:rtl w:val="0"/>
          <w:lang w:val="en-US"/>
          <w14:textFill>
            <w14:solidFill>
              <w14:srgbClr w14:val="000000"/>
            </w14:solidFill>
          </w14:textFill>
        </w:rPr>
        <w:t>Criterion met</w:t>
      </w:r>
      <w:r>
        <w:rPr>
          <w:rStyle w:val="None"/>
          <w:b w:val="0"/>
          <w:bCs w:val="0"/>
          <w:outline w:val="0"/>
          <w:color w:val="000000"/>
          <w:sz w:val="24"/>
          <w:szCs w:val="24"/>
          <w:u w:color="000000"/>
          <w:rtl w:val="0"/>
          <w:lang w:val="en-US"/>
          <w14:textFill>
            <w14:solidFill>
              <w14:srgbClr w14:val="000000"/>
            </w14:solidFill>
          </w14:textFill>
        </w:rPr>
        <w:t xml:space="preserve">  (a new evaluation is likely to contain several elements in the PICOT that are importantly different to those in the</w:t>
      </w:r>
      <w:r>
        <w:rPr>
          <w:rStyle w:val="None"/>
          <w:b w:val="0"/>
          <w:bCs w:val="0"/>
          <w:outline w:val="0"/>
          <w:color w:val="000000"/>
          <w:sz w:val="24"/>
          <w:szCs w:val="24"/>
          <w:u w:color="000000"/>
          <w:rtl w:val="0"/>
          <w:lang w:val="en-US"/>
          <w14:textFill>
            <w14:solidFill>
              <w14:srgbClr w14:val="000000"/>
            </w14:solidFill>
          </w14:textFill>
        </w:rPr>
        <w:t xml:space="preserve"> </w:t>
      </w:r>
      <w:r>
        <w:rPr>
          <w:rStyle w:val="None"/>
          <w:b w:val="0"/>
          <w:bCs w:val="0"/>
          <w:outline w:val="0"/>
          <w:color w:val="000000"/>
          <w:sz w:val="24"/>
          <w:szCs w:val="24"/>
          <w:u w:color="000000"/>
          <w:rtl w:val="0"/>
          <w:lang w:val="en-US"/>
          <w14:textFill>
            <w14:solidFill>
              <w14:srgbClr w14:val="000000"/>
            </w14:solidFill>
          </w14:textFill>
        </w:rPr>
        <w:t>existing evaluations).</w:t>
      </w: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r>
        <w:rPr>
          <w:rStyle w:val="None"/>
          <w:outline w:val="0"/>
          <w:color w:val="000000"/>
          <w:sz w:val="24"/>
          <w:szCs w:val="24"/>
          <w:u w:color="000000"/>
          <w:rtl w:val="0"/>
          <w:lang w:val="fr-FR"/>
          <w14:textFill>
            <w14:solidFill>
              <w14:srgbClr w14:val="000000"/>
            </w14:solidFill>
          </w14:textFill>
        </w:rPr>
        <w:t>Balance</w:t>
      </w:r>
      <w:r>
        <w:rPr>
          <w:rStyle w:val="None"/>
          <w:outline w:val="0"/>
          <w:color w:val="000000"/>
          <w:sz w:val="24"/>
          <w:szCs w:val="24"/>
          <w:u w:color="000000"/>
          <w:rtl w:val="0"/>
          <w:lang w:val="en-US"/>
          <w14:textFill>
            <w14:solidFill>
              <w14:srgbClr w14:val="000000"/>
            </w14:solidFill>
          </w14:textFill>
        </w:rPr>
        <w:t xml:space="preserve">– </w:t>
      </w:r>
      <w:r>
        <w:rPr>
          <w:rStyle w:val="None"/>
          <w:outline w:val="0"/>
          <w:color w:val="000000"/>
          <w:sz w:val="24"/>
          <w:szCs w:val="24"/>
          <w:u w:color="000000"/>
          <w:rtl w:val="0"/>
          <w:lang w:val="fr-FR"/>
          <w14:textFill>
            <w14:solidFill>
              <w14:srgbClr w14:val="000000"/>
            </w14:solidFill>
          </w14:textFill>
        </w:rPr>
        <w:t>participants</w:t>
      </w:r>
      <w:r>
        <w:rPr>
          <w:rStyle w:val="None"/>
          <w:outline w:val="0"/>
          <w:color w:val="000000"/>
          <w:sz w:val="24"/>
          <w:szCs w:val="24"/>
          <w:u w:color="000000"/>
          <w:rtl w:val="0"/>
          <w:lang w:val="en-US"/>
          <w14:textFill>
            <w14:solidFill>
              <w14:srgbClr w14:val="000000"/>
            </w14:solidFill>
          </w14:textFill>
        </w:rPr>
        <w:t>–</w:t>
      </w:r>
      <w:r>
        <w:rPr>
          <w:rStyle w:val="None"/>
          <w:b w:val="0"/>
          <w:bCs w:val="0"/>
          <w:outline w:val="0"/>
          <w:color w:val="000000"/>
          <w:sz w:val="24"/>
          <w:szCs w:val="24"/>
          <w:u w:color="000000"/>
          <w:rtl w:val="0"/>
          <w:lang w:val="en-US"/>
          <w14:textFill>
            <w14:solidFill>
              <w14:srgbClr w14:val="000000"/>
            </w14:solidFill>
          </w14:textFill>
        </w:rPr>
        <w:t xml:space="preserve">  </w:t>
      </w:r>
      <w:r>
        <w:rPr>
          <w:rStyle w:val="None"/>
          <w:b w:val="0"/>
          <w:bCs w:val="0"/>
          <w:outline w:val="0"/>
          <w:color w:val="000000"/>
          <w:sz w:val="24"/>
          <w:szCs w:val="24"/>
          <w:u w:color="000000"/>
          <w:rtl w:val="0"/>
          <w:lang w:val="en-US"/>
          <w14:textFill>
            <w14:solidFill>
              <w14:srgbClr w14:val="000000"/>
            </w14:solidFill>
          </w14:textFill>
        </w:rPr>
        <w:t xml:space="preserve">There is little benefit to participants of receiving an email invitation. In Treweek 2012 it was easier to get </w:t>
      </w:r>
      <w:r>
        <w:rPr>
          <w:rStyle w:val="None"/>
          <w:b w:val="0"/>
          <w:bCs w:val="0"/>
          <w:outline w:val="0"/>
          <w:color w:val="000000"/>
          <w:sz w:val="24"/>
          <w:szCs w:val="24"/>
          <w:u w:color="000000"/>
          <w:rtl w:val="0"/>
          <w:lang w:val="en-US"/>
          <w14:textFill>
            <w14:solidFill>
              <w14:srgbClr w14:val="000000"/>
            </w14:solidFill>
          </w14:textFill>
        </w:rPr>
        <w:t xml:space="preserve">to the online trial because it meant just clicking a link, rather than typing it out. In other trials there may be little or no benefit.  Similarly, there is little disadvantage part from, perhaps, the invitation being just one more email. </w:t>
      </w:r>
      <w:r>
        <w:rPr>
          <w:rStyle w:val="None"/>
          <w:b w:val="0"/>
          <w:bCs w:val="0"/>
          <w:outline w:val="0"/>
          <w:color w:val="000000"/>
          <w:sz w:val="24"/>
          <w:szCs w:val="24"/>
          <w:u w:color="000000"/>
          <w:rtl w:val="0"/>
          <w:lang w:val="en-US"/>
          <w14:textFill>
            <w14:solidFill>
              <w14:srgbClr w14:val="000000"/>
            </w14:solidFill>
          </w14:textFill>
        </w:rPr>
        <w:t xml:space="preserve"> </w:t>
      </w:r>
      <w:r>
        <w:rPr>
          <w:rStyle w:val="None"/>
          <w:rFonts w:ascii="Open Sans Semibold" w:hAnsi="Open Sans Semibold"/>
          <w:b w:val="0"/>
          <w:bCs w:val="0"/>
          <w:i w:val="1"/>
          <w:iCs w:val="1"/>
          <w:outline w:val="0"/>
          <w:color w:val="000000"/>
          <w:sz w:val="24"/>
          <w:szCs w:val="24"/>
          <w:u w:color="000000"/>
          <w:rtl w:val="0"/>
          <w:lang w:val="it-IT"/>
          <w14:textFill>
            <w14:solidFill>
              <w14:srgbClr w14:val="000000"/>
            </w14:solidFill>
          </w14:textFill>
        </w:rPr>
        <w:t xml:space="preserve">Criterion </w:t>
      </w:r>
      <w:r>
        <w:rPr>
          <w:rStyle w:val="None"/>
          <w:rFonts w:ascii="Open Sans Semibold" w:hAnsi="Open Sans Semibold"/>
          <w:b w:val="0"/>
          <w:bCs w:val="0"/>
          <w:i w:val="1"/>
          <w:iCs w:val="1"/>
          <w:outline w:val="0"/>
          <w:color w:val="000000"/>
          <w:sz w:val="24"/>
          <w:szCs w:val="24"/>
          <w:u w:color="000000"/>
          <w:rtl w:val="0"/>
          <w:lang w:val="it-IT"/>
          <w14:textFill>
            <w14:solidFill>
              <w14:srgbClr w14:val="000000"/>
            </w14:solidFill>
          </w14:textFill>
        </w:rPr>
        <w:t xml:space="preserve">not </w:t>
      </w:r>
      <w:r>
        <w:rPr>
          <w:rStyle w:val="None"/>
          <w:rFonts w:ascii="Open Sans Semibold" w:hAnsi="Open Sans Semibold"/>
          <w:b w:val="0"/>
          <w:bCs w:val="0"/>
          <w:i w:val="1"/>
          <w:iCs w:val="1"/>
          <w:outline w:val="0"/>
          <w:color w:val="000000"/>
          <w:sz w:val="24"/>
          <w:szCs w:val="24"/>
          <w:u w:color="000000"/>
          <w:rtl w:val="0"/>
          <w:lang w:val="nl-NL"/>
          <w14:textFill>
            <w14:solidFill>
              <w14:srgbClr w14:val="000000"/>
            </w14:solidFill>
          </w14:textFill>
        </w:rPr>
        <w:t>met</w:t>
      </w:r>
      <w:r>
        <w:rPr>
          <w:rStyle w:val="None"/>
          <w:b w:val="0"/>
          <w:bCs w:val="0"/>
          <w:outline w:val="0"/>
          <w:color w:val="000000"/>
          <w:sz w:val="24"/>
          <w:szCs w:val="24"/>
          <w:u w:color="000000"/>
          <w:rtl w:val="0"/>
          <w:lang w:val="en-US"/>
          <w14:textFill>
            <w14:solidFill>
              <w14:srgbClr w14:val="000000"/>
            </w14:solidFill>
          </w14:textFill>
        </w:rPr>
        <w:t xml:space="preserve"> (the balance of benefit and disadvantage to participants in the new host trial and/or SWAT is clear).</w:t>
      </w: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r>
        <w:rPr>
          <w:rStyle w:val="None"/>
          <w:outline w:val="0"/>
          <w:color w:val="000000"/>
          <w:sz w:val="24"/>
          <w:szCs w:val="24"/>
          <w:u w:color="000000"/>
          <w:rtl w:val="0"/>
          <w:lang w:val="fr-FR"/>
          <w14:textFill>
            <w14:solidFill>
              <w14:srgbClr w14:val="000000"/>
            </w14:solidFill>
          </w14:textFill>
        </w:rPr>
        <w:t>Balance</w:t>
      </w:r>
      <w:r>
        <w:rPr>
          <w:rStyle w:val="None"/>
          <w:outline w:val="0"/>
          <w:color w:val="000000"/>
          <w:sz w:val="24"/>
          <w:szCs w:val="24"/>
          <w:u w:color="000000"/>
          <w:rtl w:val="0"/>
          <w:lang w:val="en-US"/>
          <w14:textFill>
            <w14:solidFill>
              <w14:srgbClr w14:val="000000"/>
            </w14:solidFill>
          </w14:textFill>
        </w:rPr>
        <w:t xml:space="preserve">– </w:t>
      </w:r>
      <w:r>
        <w:rPr>
          <w:rStyle w:val="None"/>
          <w:outline w:val="0"/>
          <w:color w:val="000000"/>
          <w:sz w:val="24"/>
          <w:szCs w:val="24"/>
          <w:u w:color="000000"/>
          <w:rtl w:val="0"/>
          <w:lang w:val="en-US"/>
          <w14:textFill>
            <w14:solidFill>
              <w14:srgbClr w14:val="000000"/>
            </w14:solidFill>
          </w14:textFill>
        </w:rPr>
        <w:t>host trial</w:t>
      </w:r>
      <w:r>
        <w:rPr>
          <w:rStyle w:val="None"/>
          <w:b w:val="0"/>
          <w:bCs w:val="0"/>
          <w:outline w:val="0"/>
          <w:color w:val="000000"/>
          <w:sz w:val="24"/>
          <w:szCs w:val="24"/>
          <w:u w:color="000000"/>
          <w:rtl w:val="0"/>
          <w:lang w:val="en-US"/>
          <w14:textFill>
            <w14:solidFill>
              <w14:srgbClr w14:val="000000"/>
            </w14:solidFill>
          </w14:textFill>
        </w:rPr>
        <w:t xml:space="preserve">– </w:t>
      </w:r>
      <w:r>
        <w:rPr>
          <w:rStyle w:val="None"/>
          <w:b w:val="0"/>
          <w:bCs w:val="0"/>
          <w:outline w:val="0"/>
          <w:color w:val="000000"/>
          <w:sz w:val="24"/>
          <w:szCs w:val="24"/>
          <w:u w:color="000000"/>
          <w:rtl w:val="0"/>
          <w:lang w:val="en-US"/>
          <w14:textFill>
            <w14:solidFill>
              <w14:srgbClr w14:val="000000"/>
            </w14:solidFill>
          </w14:textFill>
        </w:rPr>
        <w:t xml:space="preserve">The benefit to the host trial </w:t>
      </w:r>
      <w:r>
        <w:rPr>
          <w:rStyle w:val="None"/>
          <w:b w:val="0"/>
          <w:bCs w:val="0"/>
          <w:outline w:val="0"/>
          <w:color w:val="000000"/>
          <w:sz w:val="24"/>
          <w:szCs w:val="24"/>
          <w:u w:color="000000"/>
          <w:rtl w:val="0"/>
          <w:lang w:val="en-US"/>
          <w14:textFill>
            <w14:solidFill>
              <w14:srgbClr w14:val="000000"/>
            </w14:solidFill>
          </w14:textFill>
        </w:rPr>
        <w:t>at present is the potential for a very small</w:t>
      </w:r>
      <w:r>
        <w:rPr>
          <w:rStyle w:val="None"/>
          <w:b w:val="0"/>
          <w:bCs w:val="0"/>
          <w:outline w:val="0"/>
          <w:color w:val="000000"/>
          <w:sz w:val="24"/>
          <w:szCs w:val="24"/>
          <w:u w:color="000000"/>
          <w:rtl w:val="0"/>
          <w:lang w:val="en-US"/>
          <w14:textFill>
            <w14:solidFill>
              <w14:srgbClr w14:val="000000"/>
            </w14:solidFill>
          </w14:textFill>
        </w:rPr>
        <w:t xml:space="preserve"> increase in </w:t>
      </w:r>
      <w:r>
        <w:rPr>
          <w:rStyle w:val="None"/>
          <w:b w:val="0"/>
          <w:bCs w:val="0"/>
          <w:outline w:val="0"/>
          <w:color w:val="000000"/>
          <w:sz w:val="24"/>
          <w:szCs w:val="24"/>
          <w:u w:color="000000"/>
          <w:rtl w:val="0"/>
          <w:lang w:val="en-US"/>
          <w14:textFill>
            <w14:solidFill>
              <w14:srgbClr w14:val="000000"/>
            </w14:solidFill>
          </w14:textFill>
        </w:rPr>
        <w:t>recruitment</w:t>
      </w:r>
      <w:r>
        <w:rPr>
          <w:rStyle w:val="None"/>
          <w:b w:val="0"/>
          <w:bCs w:val="0"/>
          <w:outline w:val="0"/>
          <w:color w:val="000000"/>
          <w:sz w:val="24"/>
          <w:szCs w:val="24"/>
          <w:u w:color="000000"/>
          <w:rtl w:val="0"/>
          <w:lang w:val="en-US"/>
          <w14:textFill>
            <w14:solidFill>
              <w14:srgbClr w14:val="000000"/>
            </w14:solidFill>
          </w14:textFill>
        </w:rPr>
        <w:t xml:space="preserve">.  </w:t>
      </w:r>
      <w:r>
        <w:rPr>
          <w:rStyle w:val="None"/>
          <w:b w:val="0"/>
          <w:bCs w:val="0"/>
          <w:outline w:val="0"/>
          <w:color w:val="000000"/>
          <w:sz w:val="24"/>
          <w:szCs w:val="24"/>
          <w:u w:color="000000"/>
          <w:rtl w:val="0"/>
          <w:lang w:val="en-US"/>
          <w14:textFill>
            <w14:solidFill>
              <w14:srgbClr w14:val="000000"/>
            </w14:solidFill>
          </w14:textFill>
        </w:rPr>
        <w:t>Treweek 2012 found that the email invitations costs less than postal (</w:t>
      </w:r>
      <w:r>
        <w:rPr>
          <w:rStyle w:val="None"/>
          <w:b w:val="0"/>
          <w:bCs w:val="0"/>
          <w:outline w:val="0"/>
          <w:color w:val="000000"/>
          <w:sz w:val="24"/>
          <w:szCs w:val="24"/>
          <w:u w:color="000000"/>
          <w:rtl w:val="0"/>
          <w:lang w:val="en-US"/>
          <w14:textFill>
            <w14:solidFill>
              <w14:srgbClr w14:val="000000"/>
            </w14:solidFill>
          </w14:textFill>
        </w:rPr>
        <w:t>£</w:t>
      </w:r>
      <w:r>
        <w:rPr>
          <w:rStyle w:val="None"/>
          <w:b w:val="0"/>
          <w:bCs w:val="0"/>
          <w:outline w:val="0"/>
          <w:color w:val="000000"/>
          <w:sz w:val="24"/>
          <w:szCs w:val="24"/>
          <w:u w:color="000000"/>
          <w:rtl w:val="0"/>
          <w:lang w:val="en-US"/>
          <w14:textFill>
            <w14:solidFill>
              <w14:srgbClr w14:val="000000"/>
            </w14:solidFill>
          </w14:textFill>
        </w:rPr>
        <w:t xml:space="preserve">442 vs </w:t>
      </w:r>
      <w:r>
        <w:rPr>
          <w:rStyle w:val="None"/>
          <w:b w:val="0"/>
          <w:bCs w:val="0"/>
          <w:outline w:val="0"/>
          <w:color w:val="000000"/>
          <w:sz w:val="24"/>
          <w:szCs w:val="24"/>
          <w:u w:color="000000"/>
          <w:rtl w:val="0"/>
          <w:lang w:val="en-US"/>
          <w14:textFill>
            <w14:solidFill>
              <w14:srgbClr w14:val="000000"/>
            </w14:solidFill>
          </w14:textFill>
        </w:rPr>
        <w:t>£</w:t>
      </w:r>
      <w:r>
        <w:rPr>
          <w:rStyle w:val="None"/>
          <w:b w:val="0"/>
          <w:bCs w:val="0"/>
          <w:outline w:val="0"/>
          <w:color w:val="000000"/>
          <w:sz w:val="24"/>
          <w:szCs w:val="24"/>
          <w:u w:color="000000"/>
          <w:rtl w:val="0"/>
          <w:lang w:val="en-US"/>
          <w14:textFill>
            <w14:solidFill>
              <w14:srgbClr w14:val="000000"/>
            </w14:solidFill>
          </w14:textFill>
        </w:rPr>
        <w:t xml:space="preserve">2071, which includes staff time) and took less staff time (26 hours vs 40).  </w:t>
      </w:r>
      <w:r>
        <w:rPr>
          <w:rStyle w:val="None"/>
          <w:b w:val="0"/>
          <w:bCs w:val="0"/>
          <w:outline w:val="0"/>
          <w:color w:val="000000"/>
          <w:sz w:val="24"/>
          <w:szCs w:val="24"/>
          <w:u w:color="000000"/>
          <w:rtl w:val="0"/>
          <w:lang w:val="en-US"/>
          <w14:textFill>
            <w14:solidFill>
              <w14:srgbClr w14:val="000000"/>
            </w14:solidFill>
          </w14:textFill>
        </w:rPr>
        <w:t>The potential disadvantage</w:t>
      </w:r>
      <w:r>
        <w:rPr>
          <w:rStyle w:val="None"/>
          <w:b w:val="0"/>
          <w:bCs w:val="0"/>
          <w:outline w:val="0"/>
          <w:color w:val="000000"/>
          <w:sz w:val="24"/>
          <w:szCs w:val="24"/>
          <w:u w:color="000000"/>
          <w:rtl w:val="0"/>
          <w:lang w:val="en-US"/>
          <w14:textFill>
            <w14:solidFill>
              <w14:srgbClr w14:val="000000"/>
            </w14:solidFill>
          </w14:textFill>
        </w:rPr>
        <w:t xml:space="preserve"> may be that some people may not check their emails but for the general practitioner population used in Treweek 2012 this wasn</w:t>
      </w:r>
      <w:r>
        <w:rPr>
          <w:rStyle w:val="None"/>
          <w:b w:val="0"/>
          <w:bCs w:val="0"/>
          <w:outline w:val="0"/>
          <w:color w:val="000000"/>
          <w:sz w:val="24"/>
          <w:szCs w:val="24"/>
          <w:u w:color="000000"/>
          <w:rtl w:val="0"/>
          <w:lang w:val="en-US"/>
          <w14:textFill>
            <w14:solidFill>
              <w14:srgbClr w14:val="000000"/>
            </w14:solidFill>
          </w14:textFill>
        </w:rPr>
        <w:t>’</w:t>
      </w:r>
      <w:r>
        <w:rPr>
          <w:rStyle w:val="None"/>
          <w:b w:val="0"/>
          <w:bCs w:val="0"/>
          <w:outline w:val="0"/>
          <w:color w:val="000000"/>
          <w:sz w:val="24"/>
          <w:szCs w:val="24"/>
          <w:u w:color="000000"/>
          <w:rtl w:val="0"/>
          <w:lang w:val="en-US"/>
          <w14:textFill>
            <w14:solidFill>
              <w14:srgbClr w14:val="000000"/>
            </w14:solidFill>
          </w14:textFill>
        </w:rPr>
        <w:t>t really an issue, or at least not worse than not reading post</w:t>
      </w:r>
      <w:r>
        <w:rPr>
          <w:rStyle w:val="None"/>
          <w:b w:val="0"/>
          <w:bCs w:val="0"/>
          <w:outline w:val="0"/>
          <w:color w:val="000000"/>
          <w:sz w:val="24"/>
          <w:szCs w:val="24"/>
          <w:u w:color="000000"/>
          <w:rtl w:val="0"/>
          <w:lang w:val="en-US"/>
          <w14:textFill>
            <w14:solidFill>
              <w14:srgbClr w14:val="000000"/>
            </w14:solidFill>
          </w14:textFill>
        </w:rPr>
        <w:t xml:space="preserve">.  </w:t>
      </w:r>
      <w:r>
        <w:rPr>
          <w:rStyle w:val="None"/>
          <w:rFonts w:ascii="Open Sans Semibold" w:hAnsi="Open Sans Semibold"/>
          <w:b w:val="0"/>
          <w:bCs w:val="0"/>
          <w:i w:val="1"/>
          <w:iCs w:val="1"/>
          <w:outline w:val="0"/>
          <w:color w:val="000000"/>
          <w:sz w:val="24"/>
          <w:szCs w:val="24"/>
          <w:u w:color="000000"/>
          <w:rtl w:val="0"/>
          <w:lang w:val="en-US"/>
          <w14:textFill>
            <w14:solidFill>
              <w14:srgbClr w14:val="000000"/>
            </w14:solidFill>
          </w14:textFill>
        </w:rPr>
        <w:t>Criterion not met</w:t>
      </w:r>
      <w:r>
        <w:rPr>
          <w:rStyle w:val="None"/>
          <w:b w:val="0"/>
          <w:bCs w:val="0"/>
          <w:outline w:val="0"/>
          <w:color w:val="000000"/>
          <w:sz w:val="24"/>
          <w:szCs w:val="24"/>
          <w:u w:color="000000"/>
          <w:rtl w:val="0"/>
          <w:lang w:val="en-US"/>
          <w14:textFill>
            <w14:solidFill>
              <w14:srgbClr w14:val="000000"/>
            </w14:solidFill>
          </w14:textFill>
        </w:rPr>
        <w:t xml:space="preserve"> (the balance of benefit and disadvantage to those running the host trial is clear).</w:t>
      </w: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r>
        <w:rPr>
          <w:rStyle w:val="None"/>
          <w:b w:val="0"/>
          <w:bCs w:val="0"/>
          <w:outline w:val="0"/>
          <w:color w:val="000000"/>
          <w:sz w:val="24"/>
          <w:szCs w:val="24"/>
          <w:u w:color="000000"/>
          <w:rtl w:val="0"/>
          <w:lang w:val="en-US"/>
          <w14:textFill>
            <w14:solidFill>
              <w14:srgbClr w14:val="000000"/>
            </w14:solidFill>
          </w14:textFill>
        </w:rPr>
        <w:t xml:space="preserve">Considering the responses across all five criteria leads us to conclude that further evaluation of </w:t>
      </w:r>
      <w:r>
        <w:rPr>
          <w:rStyle w:val="None"/>
          <w:b w:val="0"/>
          <w:bCs w:val="0"/>
          <w:outline w:val="0"/>
          <w:color w:val="000000"/>
          <w:sz w:val="24"/>
          <w:szCs w:val="24"/>
          <w:u w:color="000000"/>
          <w:rtl w:val="0"/>
          <w:lang w:val="en-US"/>
          <w14:textFill>
            <w14:solidFill>
              <w14:srgbClr w14:val="000000"/>
            </w14:solidFill>
          </w14:textFill>
        </w:rPr>
        <w:t>email invitations</w:t>
      </w:r>
      <w:r>
        <w:rPr>
          <w:rStyle w:val="None"/>
          <w:b w:val="0"/>
          <w:bCs w:val="0"/>
          <w:outline w:val="0"/>
          <w:color w:val="000000"/>
          <w:sz w:val="24"/>
          <w:szCs w:val="24"/>
          <w:u w:color="000000"/>
          <w:rtl w:val="0"/>
          <w:lang w:val="en-US"/>
          <w14:textFill>
            <w14:solidFill>
              <w14:srgbClr w14:val="000000"/>
            </w14:solidFill>
          </w14:textFill>
        </w:rPr>
        <w:t xml:space="preserve"> is needed.  Priority should be given to evaluation in trials that:</w:t>
      </w:r>
    </w:p>
    <w:p>
      <w:pPr>
        <w:pStyle w:val="Body A"/>
        <w:suppressAutoHyphens w:val="1"/>
        <w:bidi w:val="0"/>
        <w:spacing w:line="240" w:lineRule="auto"/>
        <w:ind w:left="0" w:right="0" w:firstLine="0"/>
        <w:jc w:val="left"/>
        <w:rPr>
          <w:rStyle w:val="None"/>
          <w:b w:val="0"/>
          <w:bCs w:val="0"/>
          <w:outline w:val="0"/>
          <w:color w:val="000000"/>
          <w:sz w:val="24"/>
          <w:szCs w:val="24"/>
          <w:u w:color="000000"/>
          <w:rtl w:val="0"/>
          <w14:textFill>
            <w14:solidFill>
              <w14:srgbClr w14:val="000000"/>
            </w14:solidFill>
          </w14:textFill>
        </w:rPr>
      </w:pPr>
    </w:p>
    <w:p>
      <w:pPr>
        <w:pStyle w:val="Body A"/>
        <w:numPr>
          <w:ilvl w:val="0"/>
          <w:numId w:val="5"/>
        </w:numPr>
        <w:suppressAutoHyphens w:val="1"/>
        <w:bidi w:val="0"/>
        <w:spacing w:line="240" w:lineRule="auto"/>
        <w:ind w:right="0"/>
        <w:jc w:val="left"/>
        <w:rPr>
          <w:b w:val="0"/>
          <w:bCs w:val="0"/>
          <w:outline w:val="0"/>
          <w:color w:val="000000"/>
          <w:sz w:val="24"/>
          <w:szCs w:val="24"/>
          <w:rtl w:val="0"/>
          <w:lang w:val="en-US"/>
          <w14:textFill>
            <w14:solidFill>
              <w14:srgbClr w14:val="000000"/>
            </w14:solidFill>
          </w14:textFill>
        </w:rPr>
      </w:pPr>
      <w:r>
        <w:rPr>
          <w:rStyle w:val="None"/>
          <w:b w:val="0"/>
          <w:bCs w:val="0"/>
          <w:outline w:val="0"/>
          <w:color w:val="000000"/>
          <w:sz w:val="24"/>
          <w:szCs w:val="24"/>
          <w:u w:color="000000"/>
          <w:rtl w:val="0"/>
          <w:lang w:val="en-US"/>
          <w14:textFill>
            <w14:solidFill>
              <w14:srgbClr w14:val="000000"/>
            </w14:solidFill>
          </w14:textFill>
        </w:rPr>
        <w:t>Evaluation in any host trial would be worthwhile but especially where the potential participants were not healthcare professionals.</w:t>
      </w:r>
    </w:p>
    <w:p>
      <w:pPr>
        <w:pStyle w:val="Body A"/>
        <w:suppressAutoHyphens w:val="1"/>
        <w:bidi w:val="0"/>
        <w:spacing w:line="240" w:lineRule="auto"/>
        <w:ind w:left="0" w:right="0" w:firstLine="0"/>
        <w:jc w:val="left"/>
        <w:rPr>
          <w:rStyle w:val="None"/>
          <w:b w:val="0"/>
          <w:bCs w:val="0"/>
          <w:outline w:val="0"/>
          <w:color w:val="000000"/>
          <w:sz w:val="24"/>
          <w:szCs w:val="24"/>
          <w:u w:color="000000"/>
          <w:rtl w:val="0"/>
          <w14:textFill>
            <w14:solidFill>
              <w14:srgbClr w14:val="000000"/>
            </w14:solidFill>
          </w14:textFill>
        </w:rPr>
      </w:pP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r>
        <w:rPr>
          <w:rStyle w:val="None"/>
          <w:b w:val="0"/>
          <w:bCs w:val="0"/>
          <w:outline w:val="0"/>
          <w:color w:val="000000"/>
          <w:sz w:val="24"/>
          <w:szCs w:val="24"/>
          <w:u w:color="000000"/>
          <w:rtl w:val="0"/>
          <w:lang w:val="en-US"/>
          <w14:textFill>
            <w14:solidFill>
              <w14:srgbClr w14:val="000000"/>
            </w14:solidFill>
          </w14:textFill>
        </w:rPr>
        <w:t>C</w:t>
      </w:r>
      <w:r>
        <w:rPr>
          <w:rStyle w:val="None"/>
          <w:b w:val="0"/>
          <w:bCs w:val="0"/>
          <w:outline w:val="0"/>
          <w:color w:val="000000"/>
          <w:sz w:val="24"/>
          <w:szCs w:val="24"/>
          <w:u w:color="000000"/>
          <w:rtl w:val="0"/>
          <w:lang w:val="en-US"/>
          <w14:textFill>
            <w14:solidFill>
              <w14:srgbClr w14:val="000000"/>
            </w14:solidFill>
          </w14:textFill>
        </w:rPr>
        <w:t xml:space="preserve">ollecting cost </w:t>
      </w:r>
      <w:r>
        <w:rPr>
          <w:rStyle w:val="None"/>
          <w:b w:val="0"/>
          <w:bCs w:val="0"/>
          <w:outline w:val="0"/>
          <w:color w:val="000000"/>
          <w:sz w:val="24"/>
          <w:szCs w:val="24"/>
          <w:u w:color="000000"/>
          <w:rtl w:val="0"/>
          <w:lang w:val="en-US"/>
          <w14:textFill>
            <w14:solidFill>
              <w14:srgbClr w14:val="000000"/>
            </w14:solidFill>
          </w14:textFill>
        </w:rPr>
        <w:t xml:space="preserve">(time and money) </w:t>
      </w:r>
      <w:r>
        <w:rPr>
          <w:rStyle w:val="None"/>
          <w:b w:val="0"/>
          <w:bCs w:val="0"/>
          <w:outline w:val="0"/>
          <w:color w:val="000000"/>
          <w:sz w:val="24"/>
          <w:szCs w:val="24"/>
          <w:u w:color="000000"/>
          <w:rtl w:val="0"/>
          <w:lang w:val="en-US"/>
          <w14:textFill>
            <w14:solidFill>
              <w14:srgbClr w14:val="000000"/>
            </w14:solidFill>
          </w14:textFill>
        </w:rPr>
        <w:t xml:space="preserve">information would be useful, as would be </w:t>
      </w:r>
      <w:r>
        <w:rPr>
          <w:rStyle w:val="None"/>
          <w:b w:val="0"/>
          <w:bCs w:val="0"/>
          <w:outline w:val="0"/>
          <w:color w:val="000000"/>
          <w:sz w:val="24"/>
          <w:szCs w:val="24"/>
          <w:u w:color="000000"/>
          <w:rtl w:val="0"/>
          <w:lang w:val="en-US"/>
          <w14:textFill>
            <w14:solidFill>
              <w14:srgbClr w14:val="000000"/>
            </w14:solidFill>
          </w14:textFill>
        </w:rPr>
        <w:t>carbon costs.</w:t>
      </w: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r>
        <w:rPr>
          <w:rStyle w:val="None"/>
          <w:outline w:val="0"/>
          <w:color w:val="000000"/>
          <w:sz w:val="24"/>
          <w:szCs w:val="24"/>
          <w:u w:color="000000"/>
          <w:rtl w:val="0"/>
          <w:lang w:val="en-US"/>
          <w14:textFill>
            <w14:solidFill>
              <w14:srgbClr w14:val="000000"/>
            </w14:solidFill>
          </w14:textFill>
        </w:rPr>
        <w:t>Who made these judgements?</w:t>
      </w: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r>
        <w:rPr>
          <w:rStyle w:val="None"/>
          <w:b w:val="0"/>
          <w:bCs w:val="0"/>
          <w:outline w:val="0"/>
          <w:color w:val="000000"/>
          <w:sz w:val="24"/>
          <w:szCs w:val="24"/>
          <w:u w:color="000000"/>
          <w:rtl w:val="0"/>
          <w:lang w:val="en-US"/>
          <w14:textFill>
            <w14:solidFill>
              <w14:srgbClr w14:val="000000"/>
            </w14:solidFill>
          </w14:textFill>
        </w:rPr>
        <w:t>Shaun Treweek, Hanne Bruhn and Heidi Gardner, all based at the University of Aberdeen, UK.</w:t>
      </w: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p>
    <w:p>
      <w:pPr>
        <w:pStyle w:val="Body 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 w:val="clear" w:pos="1701"/>
        </w:tabs>
        <w:suppressAutoHyphens w:val="1"/>
        <w:rPr>
          <w:rStyle w:val="None"/>
          <w:rFonts w:ascii="Open Sans" w:cs="Open Sans" w:hAnsi="Open Sans" w:eastAsia="Open Sans"/>
          <w:b w:val="1"/>
          <w:bCs w:val="1"/>
          <w:outline w:val="0"/>
          <w:color w:val="000000"/>
          <w:sz w:val="22"/>
          <w:szCs w:val="22"/>
          <w:u w:color="000000"/>
          <w:lang w:val="en-US"/>
          <w14:textOutline>
            <w14:noFill/>
          </w14:textOutline>
          <w14:textFill>
            <w14:solidFill>
              <w14:srgbClr w14:val="000000"/>
            </w14:solidFill>
          </w14:textFill>
        </w:rPr>
      </w:pPr>
      <w:r>
        <w:rPr>
          <w:rStyle w:val="None"/>
          <w:rFonts w:ascii="Open Sans" w:hAnsi="Open Sans"/>
          <w:b w:val="1"/>
          <w:bCs w:val="1"/>
          <w:outline w:val="0"/>
          <w:color w:val="000000"/>
          <w:sz w:val="22"/>
          <w:szCs w:val="22"/>
          <w:u w:color="000000"/>
          <w:rtl w:val="0"/>
          <w:lang w:val="en-US"/>
          <w14:textOutline>
            <w14:noFill/>
          </w14:textOutline>
          <w14:textFill>
            <w14:solidFill>
              <w14:srgbClr w14:val="000000"/>
            </w14:solidFill>
          </w14:textFill>
        </w:rPr>
        <w:t>References</w:t>
      </w:r>
    </w:p>
    <w:p>
      <w:pPr>
        <w:pStyle w:val="Body A"/>
        <w:numPr>
          <w:ilvl w:val="0"/>
          <w:numId w:val="6"/>
        </w:numPr>
        <w:suppressAutoHyphens w:val="1"/>
        <w:bidi w:val="0"/>
        <w:ind w:right="0"/>
        <w:jc w:val="left"/>
        <w:rPr>
          <w:b w:val="0"/>
          <w:bCs w:val="0"/>
          <w:outline w:val="0"/>
          <w:color w:val="000000"/>
          <w:sz w:val="18"/>
          <w:szCs w:val="18"/>
          <w:u w:color="000000"/>
          <w:rtl w:val="0"/>
          <w:lang w:val="en-US"/>
          <w14:textOutline>
            <w14:noFill/>
          </w14:textOutline>
          <w14:textFill>
            <w14:solidFill>
              <w14:srgbClr w14:val="000000"/>
            </w14:solidFill>
          </w14:textFill>
        </w:rPr>
      </w:pPr>
      <w:r>
        <w:rPr>
          <w:rStyle w:val="None"/>
          <w:b w:val="0"/>
          <w:bCs w:val="0"/>
          <w:outline w:val="0"/>
          <w:color w:val="000000"/>
          <w:sz w:val="18"/>
          <w:szCs w:val="18"/>
          <w:u w:color="000000"/>
          <w:rtl w:val="0"/>
          <w:lang w:val="en-US"/>
          <w14:textOutline>
            <w14:noFill/>
          </w14:textOutline>
          <w14:textFill>
            <w14:solidFill>
              <w14:srgbClr w14:val="000000"/>
            </w14:solidFill>
          </w14:textFill>
        </w:rPr>
        <w:t>Treweek</w:t>
      </w:r>
      <w:r>
        <w:rPr>
          <w:rStyle w:val="None"/>
          <w:b w:val="0"/>
          <w:bCs w:val="0"/>
          <w:outline w:val="0"/>
          <w:color w:val="000000"/>
          <w:sz w:val="18"/>
          <w:szCs w:val="18"/>
          <w:u w:color="000000"/>
          <w:rtl w:val="0"/>
          <w:lang w:val="en-US"/>
          <w14:textOutline>
            <w14:noFill/>
          </w14:textOutline>
          <w14:textFill>
            <w14:solidFill>
              <w14:srgbClr w14:val="000000"/>
            </w14:solidFill>
          </w14:textFill>
        </w:rPr>
        <w:t>  </w:t>
      </w:r>
      <w:r>
        <w:rPr>
          <w:rStyle w:val="None"/>
          <w:b w:val="0"/>
          <w:bCs w:val="0"/>
          <w:outline w:val="0"/>
          <w:color w:val="000000"/>
          <w:sz w:val="18"/>
          <w:szCs w:val="18"/>
          <w:u w:color="000000"/>
          <w:rtl w:val="0"/>
          <w:lang w:val="en-US"/>
          <w14:textOutline>
            <w14:noFill/>
          </w14:textOutline>
          <w14:textFill>
            <w14:solidFill>
              <w14:srgbClr w14:val="000000"/>
            </w14:solidFill>
          </w14:textFill>
        </w:rPr>
        <w:t>S, Pitkethly</w:t>
      </w:r>
      <w:r>
        <w:rPr>
          <w:rStyle w:val="None"/>
          <w:b w:val="0"/>
          <w:bCs w:val="0"/>
          <w:outline w:val="0"/>
          <w:color w:val="000000"/>
          <w:sz w:val="18"/>
          <w:szCs w:val="18"/>
          <w:u w:color="000000"/>
          <w:rtl w:val="0"/>
          <w:lang w:val="en-US"/>
          <w14:textOutline>
            <w14:noFill/>
          </w14:textOutline>
          <w14:textFill>
            <w14:solidFill>
              <w14:srgbClr w14:val="000000"/>
            </w14:solidFill>
          </w14:textFill>
        </w:rPr>
        <w:t>  </w:t>
      </w:r>
      <w:r>
        <w:rPr>
          <w:rStyle w:val="None"/>
          <w:b w:val="0"/>
          <w:bCs w:val="0"/>
          <w:outline w:val="0"/>
          <w:color w:val="000000"/>
          <w:sz w:val="18"/>
          <w:szCs w:val="18"/>
          <w:u w:color="000000"/>
          <w:rtl w:val="0"/>
          <w:lang w:val="en-US"/>
          <w14:textOutline>
            <w14:noFill/>
          </w14:textOutline>
          <w14:textFill>
            <w14:solidFill>
              <w14:srgbClr w14:val="000000"/>
            </w14:solidFill>
          </w14:textFill>
        </w:rPr>
        <w:t>M, Cook</w:t>
      </w:r>
      <w:r>
        <w:rPr>
          <w:rStyle w:val="None"/>
          <w:b w:val="0"/>
          <w:bCs w:val="0"/>
          <w:outline w:val="0"/>
          <w:color w:val="000000"/>
          <w:sz w:val="18"/>
          <w:szCs w:val="18"/>
          <w:u w:color="000000"/>
          <w:rtl w:val="0"/>
          <w:lang w:val="en-US"/>
          <w14:textOutline>
            <w14:noFill/>
          </w14:textOutline>
          <w14:textFill>
            <w14:solidFill>
              <w14:srgbClr w14:val="000000"/>
            </w14:solidFill>
          </w14:textFill>
        </w:rPr>
        <w:t>  </w:t>
      </w:r>
      <w:r>
        <w:rPr>
          <w:rStyle w:val="None"/>
          <w:b w:val="0"/>
          <w:bCs w:val="0"/>
          <w:outline w:val="0"/>
          <w:color w:val="000000"/>
          <w:sz w:val="18"/>
          <w:szCs w:val="18"/>
          <w:u w:color="000000"/>
          <w:rtl w:val="0"/>
          <w:lang w:val="en-US"/>
          <w14:textOutline>
            <w14:noFill/>
          </w14:textOutline>
          <w14:textFill>
            <w14:solidFill>
              <w14:srgbClr w14:val="000000"/>
            </w14:solidFill>
          </w14:textFill>
        </w:rPr>
        <w:t>J, Fraser</w:t>
      </w:r>
      <w:r>
        <w:rPr>
          <w:rStyle w:val="None"/>
          <w:b w:val="0"/>
          <w:bCs w:val="0"/>
          <w:outline w:val="0"/>
          <w:color w:val="000000"/>
          <w:sz w:val="18"/>
          <w:szCs w:val="18"/>
          <w:u w:color="000000"/>
          <w:rtl w:val="0"/>
          <w:lang w:val="en-US"/>
          <w14:textOutline>
            <w14:noFill/>
          </w14:textOutline>
          <w14:textFill>
            <w14:solidFill>
              <w14:srgbClr w14:val="000000"/>
            </w14:solidFill>
          </w14:textFill>
        </w:rPr>
        <w:t>  </w:t>
      </w:r>
      <w:r>
        <w:rPr>
          <w:rStyle w:val="None"/>
          <w:b w:val="0"/>
          <w:bCs w:val="0"/>
          <w:outline w:val="0"/>
          <w:color w:val="000000"/>
          <w:sz w:val="18"/>
          <w:szCs w:val="18"/>
          <w:u w:color="000000"/>
          <w:rtl w:val="0"/>
          <w:lang w:val="en-US"/>
          <w14:textOutline>
            <w14:noFill/>
          </w14:textOutline>
          <w14:textFill>
            <w14:solidFill>
              <w14:srgbClr w14:val="000000"/>
            </w14:solidFill>
          </w14:textFill>
        </w:rPr>
        <w:t>C, Mitchell</w:t>
      </w:r>
      <w:r>
        <w:rPr>
          <w:rStyle w:val="None"/>
          <w:b w:val="0"/>
          <w:bCs w:val="0"/>
          <w:outline w:val="0"/>
          <w:color w:val="000000"/>
          <w:sz w:val="18"/>
          <w:szCs w:val="18"/>
          <w:u w:color="000000"/>
          <w:rtl w:val="0"/>
          <w:lang w:val="en-US"/>
          <w14:textOutline>
            <w14:noFill/>
          </w14:textOutline>
          <w14:textFill>
            <w14:solidFill>
              <w14:srgbClr w14:val="000000"/>
            </w14:solidFill>
          </w14:textFill>
        </w:rPr>
        <w:t>  </w:t>
      </w:r>
      <w:r>
        <w:rPr>
          <w:rStyle w:val="None"/>
          <w:b w:val="0"/>
          <w:bCs w:val="0"/>
          <w:outline w:val="0"/>
          <w:color w:val="000000"/>
          <w:sz w:val="18"/>
          <w:szCs w:val="18"/>
          <w:u w:color="000000"/>
          <w:rtl w:val="0"/>
          <w:lang w:val="en-US"/>
          <w14:textOutline>
            <w14:noFill/>
          </w14:textOutline>
          <w14:textFill>
            <w14:solidFill>
              <w14:srgbClr w14:val="000000"/>
            </w14:solidFill>
          </w14:textFill>
        </w:rPr>
        <w:t>E, Sullivan</w:t>
      </w:r>
      <w:r>
        <w:rPr>
          <w:rStyle w:val="None"/>
          <w:b w:val="0"/>
          <w:bCs w:val="0"/>
          <w:outline w:val="0"/>
          <w:color w:val="000000"/>
          <w:sz w:val="18"/>
          <w:szCs w:val="18"/>
          <w:u w:color="000000"/>
          <w:rtl w:val="0"/>
          <w:lang w:val="en-US"/>
          <w14:textOutline>
            <w14:noFill/>
          </w14:textOutline>
          <w14:textFill>
            <w14:solidFill>
              <w14:srgbClr w14:val="000000"/>
            </w14:solidFill>
          </w14:textFill>
        </w:rPr>
        <w:t>  </w:t>
      </w:r>
      <w:r>
        <w:rPr>
          <w:rStyle w:val="None"/>
          <w:b w:val="0"/>
          <w:bCs w:val="0"/>
          <w:outline w:val="0"/>
          <w:color w:val="000000"/>
          <w:sz w:val="18"/>
          <w:szCs w:val="18"/>
          <w:u w:color="000000"/>
          <w:rtl w:val="0"/>
          <w:lang w:val="en-US"/>
          <w14:textOutline>
            <w14:noFill/>
          </w14:textOutline>
          <w14:textFill>
            <w14:solidFill>
              <w14:srgbClr w14:val="000000"/>
            </w14:solidFill>
          </w14:textFill>
        </w:rPr>
        <w:t>F, Jackson</w:t>
      </w:r>
      <w:r>
        <w:rPr>
          <w:rStyle w:val="None"/>
          <w:b w:val="0"/>
          <w:bCs w:val="0"/>
          <w:outline w:val="0"/>
          <w:color w:val="000000"/>
          <w:sz w:val="18"/>
          <w:szCs w:val="18"/>
          <w:u w:color="000000"/>
          <w:rtl w:val="0"/>
          <w:lang w:val="en-US"/>
          <w14:textOutline>
            <w14:noFill/>
          </w14:textOutline>
          <w14:textFill>
            <w14:solidFill>
              <w14:srgbClr w14:val="000000"/>
            </w14:solidFill>
          </w14:textFill>
        </w:rPr>
        <w:t>  </w:t>
      </w:r>
      <w:r>
        <w:rPr>
          <w:rStyle w:val="None"/>
          <w:b w:val="0"/>
          <w:bCs w:val="0"/>
          <w:outline w:val="0"/>
          <w:color w:val="000000"/>
          <w:sz w:val="18"/>
          <w:szCs w:val="18"/>
          <w:u w:color="000000"/>
          <w:rtl w:val="0"/>
          <w:lang w:val="en-US"/>
          <w14:textOutline>
            <w14:noFill/>
          </w14:textOutline>
          <w14:textFill>
            <w14:solidFill>
              <w14:srgbClr w14:val="000000"/>
            </w14:solidFill>
          </w14:textFill>
        </w:rPr>
        <w:t>C, Taskila</w:t>
      </w:r>
      <w:r>
        <w:rPr>
          <w:rStyle w:val="None"/>
          <w:b w:val="0"/>
          <w:bCs w:val="0"/>
          <w:outline w:val="0"/>
          <w:color w:val="000000"/>
          <w:sz w:val="18"/>
          <w:szCs w:val="18"/>
          <w:u w:color="000000"/>
          <w:rtl w:val="0"/>
          <w:lang w:val="en-US"/>
          <w14:textOutline>
            <w14:noFill/>
          </w14:textOutline>
          <w14:textFill>
            <w14:solidFill>
              <w14:srgbClr w14:val="000000"/>
            </w14:solidFill>
          </w14:textFill>
        </w:rPr>
        <w:t>  </w:t>
      </w:r>
      <w:r>
        <w:rPr>
          <w:rStyle w:val="None"/>
          <w:b w:val="0"/>
          <w:bCs w:val="0"/>
          <w:outline w:val="0"/>
          <w:color w:val="000000"/>
          <w:sz w:val="18"/>
          <w:szCs w:val="18"/>
          <w:u w:color="000000"/>
          <w:rtl w:val="0"/>
          <w:lang w:val="en-US"/>
          <w14:textOutline>
            <w14:noFill/>
          </w14:textOutline>
          <w14:textFill>
            <w14:solidFill>
              <w14:srgbClr w14:val="000000"/>
            </w14:solidFill>
          </w14:textFill>
        </w:rPr>
        <w:t>TK, Gardner</w:t>
      </w:r>
      <w:r>
        <w:rPr>
          <w:rStyle w:val="None"/>
          <w:b w:val="0"/>
          <w:bCs w:val="0"/>
          <w:outline w:val="0"/>
          <w:color w:val="000000"/>
          <w:sz w:val="18"/>
          <w:szCs w:val="18"/>
          <w:u w:color="000000"/>
          <w:rtl w:val="0"/>
          <w:lang w:val="en-US"/>
          <w14:textOutline>
            <w14:noFill/>
          </w14:textOutline>
          <w14:textFill>
            <w14:solidFill>
              <w14:srgbClr w14:val="000000"/>
            </w14:solidFill>
          </w14:textFill>
        </w:rPr>
        <w:t>  </w:t>
      </w:r>
      <w:r>
        <w:rPr>
          <w:rStyle w:val="None"/>
          <w:b w:val="0"/>
          <w:bCs w:val="0"/>
          <w:outline w:val="0"/>
          <w:color w:val="000000"/>
          <w:sz w:val="18"/>
          <w:szCs w:val="18"/>
          <w:u w:color="000000"/>
          <w:rtl w:val="0"/>
          <w:lang w:val="en-US"/>
          <w14:textOutline>
            <w14:noFill/>
          </w14:textOutline>
          <w14:textFill>
            <w14:solidFill>
              <w14:srgbClr w14:val="000000"/>
            </w14:solidFill>
          </w14:textFill>
        </w:rPr>
        <w:t>H. Strategies to improve recruitment to randomised trials. Cochrane Database of Systematic Reviews 2018, Issue 2. Art. No.: MR000013. DOI: 10.1002/14651858.MR000013.pub6.</w:t>
      </w:r>
    </w:p>
    <w:p>
      <w:pPr>
        <w:pStyle w:val="Body A"/>
        <w:suppressAutoHyphens w:val="1"/>
        <w:spacing w:line="240" w:lineRule="auto"/>
      </w:pPr>
      <w:r>
        <w:rPr>
          <w:rStyle w:val="None"/>
          <w:rFonts w:ascii="Arial Unicode MS" w:cs="Arial Unicode MS" w:hAnsi="Arial Unicode MS" w:eastAsia="Arial Unicode MS"/>
          <w:b w:val="0"/>
          <w:bCs w:val="0"/>
          <w:i w:val="0"/>
          <w:iCs w:val="0"/>
          <w:outline w:val="0"/>
          <w:color w:val="000000"/>
          <w:sz w:val="24"/>
          <w:szCs w:val="24"/>
          <w:u w:color="000000"/>
          <w14:textFill>
            <w14:solidFill>
              <w14:srgbClr w14:val="000000"/>
            </w14:solidFill>
          </w14:textFill>
        </w:rPr>
        <w:br w:type="page"/>
      </w:r>
    </w:p>
    <w:p>
      <w:pPr>
        <w:pStyle w:val="Body A"/>
        <w:suppressAutoHyphens w:val="1"/>
        <w:spacing w:line="240" w:lineRule="auto"/>
        <w:rPr>
          <w:rStyle w:val="None"/>
          <w:outline w:val="0"/>
          <w:color w:val="000000"/>
          <w:sz w:val="24"/>
          <w:szCs w:val="24"/>
          <w:u w:color="000000"/>
          <w14:textFill>
            <w14:solidFill>
              <w14:srgbClr w14:val="000000"/>
            </w14:solidFill>
          </w14:textFill>
        </w:rPr>
      </w:pPr>
      <w:r>
        <w:rPr>
          <w:rStyle w:val="None"/>
          <w:outline w:val="0"/>
          <w:color w:val="000000"/>
          <w:sz w:val="24"/>
          <w:szCs w:val="24"/>
          <w:u w:color="000000"/>
          <w:rtl w:val="0"/>
          <w:lang w:val="en-US"/>
          <w14:textFill>
            <w14:solidFill>
              <w14:srgbClr w14:val="000000"/>
            </w14:solidFill>
          </w14:textFill>
        </w:rPr>
        <w:t>Appendix 1</w:t>
      </w: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r>
        <w:rPr>
          <w:rStyle w:val="None"/>
          <w:b w:val="0"/>
          <w:bCs w:val="0"/>
          <w:outline w:val="0"/>
          <w:color w:val="000000"/>
          <w:sz w:val="24"/>
          <w:szCs w:val="24"/>
          <w:u w:color="000000"/>
          <w:rtl w:val="0"/>
          <w:lang w:val="en-US"/>
          <w14:textFill>
            <w14:solidFill>
              <w14:srgbClr w14:val="000000"/>
            </w14:solidFill>
          </w14:textFill>
        </w:rPr>
        <w:t xml:space="preserve">The five Trial Forge Guidance 2 criteria for deciding when a new evaluation of a SWAT intervention is needed (from </w:t>
      </w:r>
      <w:r>
        <w:rPr>
          <w:rStyle w:val="Hyperlink.0"/>
        </w:rPr>
        <w:fldChar w:fldCharType="begin" w:fldLock="0"/>
      </w:r>
      <w:r>
        <w:rPr>
          <w:rStyle w:val="Hyperlink.0"/>
        </w:rPr>
        <w:instrText xml:space="preserve"> HYPERLINK "https://doi.org/10.1186/s13063-019-3980-5"</w:instrText>
      </w:r>
      <w:r>
        <w:rPr>
          <w:rStyle w:val="Hyperlink.0"/>
        </w:rPr>
        <w:fldChar w:fldCharType="separate" w:fldLock="0"/>
      </w:r>
      <w:r>
        <w:rPr>
          <w:rStyle w:val="Hyperlink.0"/>
          <w:rtl w:val="0"/>
          <w:lang w:val="en-US"/>
        </w:rPr>
        <w:t>https://doi.org/10.1186/s13063-019-3980-5</w:t>
      </w:r>
      <w:r>
        <w:rPr/>
        <w:fldChar w:fldCharType="end" w:fldLock="0"/>
      </w:r>
      <w:r>
        <w:rPr>
          <w:rStyle w:val="None"/>
          <w:b w:val="0"/>
          <w:bCs w:val="0"/>
          <w:outline w:val="0"/>
          <w:color w:val="000000"/>
          <w:sz w:val="24"/>
          <w:szCs w:val="24"/>
          <w:u w:color="000000"/>
          <w:rtl w:val="0"/>
          <w:lang w:val="en-US"/>
          <w14:textFill>
            <w14:solidFill>
              <w14:srgbClr w14:val="000000"/>
            </w14:solidFill>
          </w14:textFill>
        </w:rPr>
        <w:t>).</w:t>
      </w:r>
    </w:p>
    <w:p>
      <w:pPr>
        <w:pStyle w:val="Body A"/>
        <w:suppressAutoHyphens w:val="1"/>
        <w:spacing w:line="240" w:lineRule="auto"/>
        <w:rPr>
          <w:rStyle w:val="None"/>
          <w:b w:val="0"/>
          <w:bCs w:val="0"/>
          <w:outline w:val="0"/>
          <w:color w:val="000000"/>
          <w:sz w:val="24"/>
          <w:szCs w:val="24"/>
          <w:u w:color="000000"/>
          <w14:textFill>
            <w14:solidFill>
              <w14:srgbClr w14:val="000000"/>
            </w14:solidFill>
          </w14:textFill>
        </w:rPr>
      </w:pPr>
    </w:p>
    <w:p>
      <w:pPr>
        <w:pStyle w:val="Default"/>
        <w:pBdr>
          <w:top w:val="single" w:color="000000" w:sz="8" w:space="0" w:shadow="0" w:frame="0"/>
          <w:left w:val="single" w:color="000000" w:sz="8" w:space="0" w:shadow="0" w:frame="0"/>
          <w:bottom w:val="single" w:color="000000" w:sz="8" w:space="0" w:shadow="0" w:frame="0"/>
          <w:right w:val="single" w:color="000000" w:sz="8" w:space="0" w:shadow="0" w:frame="0"/>
        </w:pBd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uppressAutoHyphens w:val="1"/>
        <w:rPr>
          <w:rStyle w:val="None"/>
          <w:rFonts w:ascii="Open Sans" w:cs="Open Sans" w:hAnsi="Open Sans" w:eastAsia="Open Sans"/>
          <w:sz w:val="20"/>
          <w:szCs w:val="20"/>
          <w:lang w:val="en-US"/>
        </w:rPr>
      </w:pPr>
    </w:p>
    <w:p>
      <w:pPr>
        <w:pStyle w:val="Default"/>
        <w:pBdr>
          <w:top w:val="single" w:color="000000" w:sz="8" w:space="0" w:shadow="0" w:frame="0"/>
          <w:left w:val="single" w:color="000000" w:sz="8" w:space="0" w:shadow="0" w:frame="0"/>
          <w:bottom w:val="single" w:color="000000" w:sz="8" w:space="0" w:shadow="0" w:frame="0"/>
          <w:right w:val="single" w:color="000000" w:sz="8" w:space="0" w:shadow="0" w:frame="0"/>
        </w:pBd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uppressAutoHyphens w:val="1"/>
        <w:rPr>
          <w:rStyle w:val="None"/>
          <w:rFonts w:ascii="Open Sans" w:cs="Open Sans" w:hAnsi="Open Sans" w:eastAsia="Open Sans"/>
          <w:sz w:val="20"/>
          <w:szCs w:val="20"/>
        </w:rPr>
      </w:pPr>
      <w:r>
        <w:rPr>
          <w:rStyle w:val="None"/>
          <w:rFonts w:ascii="Open Sans" w:hAnsi="Open Sans"/>
          <w:sz w:val="20"/>
          <w:szCs w:val="20"/>
          <w:rtl w:val="0"/>
          <w:lang w:val="en-US"/>
        </w:rPr>
        <w:t xml:space="preserve">The five proposed criteria for deciding whether the intervention needs another evaluation in a SWAT.  The more criteria that are met, the more likely we are to conclude that further evaluation in a SWAT is appropriate.   </w:t>
      </w:r>
    </w:p>
    <w:p>
      <w:pPr>
        <w:pStyle w:val="Default"/>
        <w:pBdr>
          <w:top w:val="single" w:color="000000" w:sz="8" w:space="0" w:shadow="0" w:frame="0"/>
          <w:left w:val="single" w:color="000000" w:sz="8" w:space="0" w:shadow="0" w:frame="0"/>
          <w:bottom w:val="single" w:color="000000" w:sz="8" w:space="0" w:shadow="0" w:frame="0"/>
          <w:right w:val="single" w:color="000000" w:sz="8" w:space="0" w:shadow="0" w:frame="0"/>
        </w:pBdr>
        <w:tabs>
          <w:tab w:val="left" w:pos="35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uppressAutoHyphens w:val="1"/>
        <w:rPr>
          <w:rStyle w:val="None"/>
          <w:rFonts w:ascii="Open Sans" w:cs="Open Sans" w:hAnsi="Open Sans" w:eastAsia="Open Sans"/>
          <w:sz w:val="20"/>
          <w:szCs w:val="20"/>
          <w:lang w:val="en-US"/>
        </w:rPr>
      </w:pPr>
    </w:p>
    <w:p>
      <w:pPr>
        <w:pStyle w:val="Default"/>
        <w:numPr>
          <w:ilvl w:val="0"/>
          <w:numId w:val="8"/>
        </w:numPr>
        <w:pBdr>
          <w:top w:val="single" w:color="000000" w:sz="8" w:space="0" w:shadow="0" w:frame="0"/>
          <w:left w:val="single" w:color="000000" w:sz="8" w:space="0" w:shadow="0" w:frame="0"/>
          <w:bottom w:val="single" w:color="000000" w:sz="8" w:space="0" w:shadow="0" w:frame="0"/>
          <w:right w:val="single" w:color="000000" w:sz="8" w:space="0" w:shadow="0" w:frame="0"/>
        </w:pBdr>
        <w:suppressAutoHyphens w:val="1"/>
        <w:bidi w:val="0"/>
        <w:ind w:right="0"/>
        <w:jc w:val="left"/>
        <w:rPr>
          <w:rFonts w:ascii="Open Sans" w:hAnsi="Open Sans"/>
          <w:sz w:val="20"/>
          <w:szCs w:val="20"/>
          <w:rtl w:val="0"/>
          <w:lang w:val="en-US"/>
        </w:rPr>
      </w:pPr>
      <w:r>
        <w:rPr>
          <w:rStyle w:val="None"/>
          <w:rFonts w:ascii="Open Sans" w:hAnsi="Open Sans"/>
          <w:i w:val="1"/>
          <w:iCs w:val="1"/>
          <w:sz w:val="20"/>
          <w:szCs w:val="20"/>
          <w:rtl w:val="0"/>
          <w:lang w:val="en-US"/>
        </w:rPr>
        <w:t>GRADE</w:t>
      </w:r>
      <w:r>
        <w:rPr>
          <w:rStyle w:val="None"/>
          <w:rFonts w:ascii="Open Sans" w:hAnsi="Open Sans"/>
          <w:sz w:val="20"/>
          <w:szCs w:val="20"/>
          <w:rtl w:val="0"/>
          <w:lang w:val="en-US"/>
        </w:rPr>
        <w:t xml:space="preserve">: the GRADE certainty in the evidence for all key outcomes is lower than </w:t>
      </w:r>
      <w:r>
        <w:rPr>
          <w:rStyle w:val="None"/>
          <w:rFonts w:ascii="Open Sans" w:hAnsi="Open Sans" w:hint="default"/>
          <w:sz w:val="20"/>
          <w:szCs w:val="20"/>
          <w:rtl w:val="0"/>
          <w:lang w:val="en-US"/>
        </w:rPr>
        <w:t>‘</w:t>
      </w:r>
      <w:r>
        <w:rPr>
          <w:rStyle w:val="None"/>
          <w:rFonts w:ascii="Open Sans" w:hAnsi="Open Sans"/>
          <w:sz w:val="20"/>
          <w:szCs w:val="20"/>
          <w:rtl w:val="0"/>
          <w:lang w:val="en-US"/>
        </w:rPr>
        <w:t>high</w:t>
      </w:r>
      <w:r>
        <w:rPr>
          <w:rStyle w:val="None"/>
          <w:rFonts w:ascii="Open Sans" w:hAnsi="Open Sans" w:hint="default"/>
          <w:sz w:val="20"/>
          <w:szCs w:val="20"/>
          <w:rtl w:val="0"/>
          <w:lang w:val="en-US"/>
        </w:rPr>
        <w:t>’</w:t>
      </w:r>
      <w:r>
        <w:rPr>
          <w:rStyle w:val="None"/>
          <w:rFonts w:ascii="Open Sans" w:hAnsi="Open Sans"/>
          <w:sz w:val="20"/>
          <w:szCs w:val="20"/>
          <w:rtl w:val="0"/>
          <w:lang w:val="en-US"/>
        </w:rPr>
        <w:t>.</w:t>
      </w:r>
      <w:r>
        <w:rPr>
          <w:rStyle w:val="None"/>
          <w:rFonts w:ascii="Open Sans" w:hAnsi="Open Sans"/>
          <w:sz w:val="20"/>
          <w:szCs w:val="20"/>
          <w:vertAlign w:val="superscript"/>
          <w:rtl w:val="0"/>
          <w:lang w:val="en-US"/>
        </w:rPr>
        <w:t>i</w:t>
      </w:r>
    </w:p>
    <w:p>
      <w:pPr>
        <w:pStyle w:val="Default"/>
        <w:numPr>
          <w:ilvl w:val="0"/>
          <w:numId w:val="8"/>
        </w:numPr>
        <w:pBdr>
          <w:top w:val="single" w:color="000000" w:sz="8" w:space="0" w:shadow="0" w:frame="0"/>
          <w:left w:val="single" w:color="000000" w:sz="8" w:space="0" w:shadow="0" w:frame="0"/>
          <w:bottom w:val="single" w:color="000000" w:sz="8" w:space="0" w:shadow="0" w:frame="0"/>
          <w:right w:val="single" w:color="000000" w:sz="8" w:space="0" w:shadow="0" w:frame="0"/>
        </w:pBdr>
        <w:suppressAutoHyphens w:val="1"/>
        <w:bidi w:val="0"/>
        <w:ind w:right="0"/>
        <w:jc w:val="left"/>
        <w:rPr>
          <w:rFonts w:ascii="Open Sans" w:hAnsi="Open Sans"/>
          <w:sz w:val="20"/>
          <w:szCs w:val="20"/>
          <w:rtl w:val="0"/>
          <w:lang w:val="en-US"/>
        </w:rPr>
      </w:pPr>
      <w:r>
        <w:rPr>
          <w:rStyle w:val="None"/>
          <w:rFonts w:ascii="Open Sans" w:hAnsi="Open Sans"/>
          <w:i w:val="1"/>
          <w:iCs w:val="1"/>
          <w:sz w:val="20"/>
          <w:szCs w:val="20"/>
          <w:rtl w:val="0"/>
          <w:lang w:val="en-US"/>
        </w:rPr>
        <w:t>Cumulated evidence</w:t>
      </w:r>
      <w:r>
        <w:rPr>
          <w:rStyle w:val="None"/>
          <w:rFonts w:ascii="Open Sans" w:hAnsi="Open Sans"/>
          <w:sz w:val="20"/>
          <w:szCs w:val="20"/>
          <w:rtl w:val="0"/>
          <w:lang w:val="en-US"/>
        </w:rPr>
        <w:t>: the cumulative meta-analysis shows that the effect estimate for each outcome essential to make an informed decision has not converged.</w:t>
      </w:r>
      <w:r>
        <w:rPr>
          <w:rStyle w:val="None"/>
          <w:rFonts w:ascii="Open Sans" w:hAnsi="Open Sans"/>
          <w:sz w:val="20"/>
          <w:szCs w:val="20"/>
          <w:vertAlign w:val="superscript"/>
          <w:rtl w:val="0"/>
          <w:lang w:val="en-US"/>
        </w:rPr>
        <w:t>ii, iii</w:t>
      </w:r>
    </w:p>
    <w:p>
      <w:pPr>
        <w:pStyle w:val="Default"/>
        <w:numPr>
          <w:ilvl w:val="0"/>
          <w:numId w:val="8"/>
        </w:numPr>
        <w:pBdr>
          <w:top w:val="single" w:color="000000" w:sz="8" w:space="0" w:shadow="0" w:frame="0"/>
          <w:left w:val="single" w:color="000000" w:sz="8" w:space="0" w:shadow="0" w:frame="0"/>
          <w:bottom w:val="single" w:color="000000" w:sz="8" w:space="0" w:shadow="0" w:frame="0"/>
          <w:right w:val="single" w:color="000000" w:sz="8" w:space="0" w:shadow="0" w:frame="0"/>
        </w:pBdr>
        <w:suppressAutoHyphens w:val="1"/>
        <w:bidi w:val="0"/>
        <w:ind w:right="0"/>
        <w:jc w:val="left"/>
        <w:rPr>
          <w:rFonts w:ascii="Open Sans" w:hAnsi="Open Sans"/>
          <w:sz w:val="20"/>
          <w:szCs w:val="20"/>
          <w:rtl w:val="0"/>
          <w:lang w:val="en-US"/>
        </w:rPr>
      </w:pPr>
      <w:r>
        <w:rPr>
          <w:rStyle w:val="None"/>
          <w:rFonts w:ascii="Open Sans" w:hAnsi="Open Sans"/>
          <w:i w:val="1"/>
          <w:iCs w:val="1"/>
          <w:sz w:val="20"/>
          <w:szCs w:val="20"/>
          <w:rtl w:val="0"/>
          <w:lang w:val="en-US"/>
        </w:rPr>
        <w:t>Context</w:t>
      </w:r>
      <w:r>
        <w:rPr>
          <w:rStyle w:val="None"/>
          <w:rFonts w:ascii="Open Sans" w:hAnsi="Open Sans"/>
          <w:sz w:val="20"/>
          <w:szCs w:val="20"/>
          <w:rtl w:val="0"/>
          <w:lang w:val="en-US"/>
        </w:rPr>
        <w:t>: the range of host trial contexts evaluated to date does not translate easily to the context of the proposed SWAT</w:t>
      </w:r>
      <w:r>
        <w:rPr>
          <w:rStyle w:val="None"/>
          <w:rFonts w:ascii="Open Sans" w:hAnsi="Open Sans"/>
          <w:sz w:val="20"/>
          <w:szCs w:val="20"/>
          <w:vertAlign w:val="superscript"/>
          <w:rtl w:val="0"/>
          <w:lang w:val="en-US"/>
        </w:rPr>
        <w:t>iv</w:t>
      </w:r>
      <w:r>
        <w:rPr>
          <w:rStyle w:val="None"/>
          <w:rFonts w:ascii="Open Sans" w:hAnsi="Open Sans"/>
          <w:sz w:val="20"/>
          <w:szCs w:val="20"/>
          <w:rtl w:val="0"/>
          <w:lang w:val="en-US"/>
        </w:rPr>
        <w:t>.  For the proposed SWAT consider PICOT:</w:t>
      </w:r>
    </w:p>
    <w:p>
      <w:pPr>
        <w:pStyle w:val="Default"/>
        <w:numPr>
          <w:ilvl w:val="0"/>
          <w:numId w:val="10"/>
        </w:numPr>
        <w:pBdr>
          <w:top w:val="single" w:color="000000" w:sz="8" w:space="0" w:shadow="0" w:frame="0"/>
          <w:left w:val="single" w:color="000000" w:sz="8" w:space="0" w:shadow="0" w:frame="0"/>
          <w:bottom w:val="single" w:color="000000" w:sz="8" w:space="0" w:shadow="0" w:frame="0"/>
          <w:right w:val="single" w:color="000000" w:sz="8" w:space="0" w:shadow="0" w:frame="0"/>
        </w:pBdr>
        <w:suppressAutoHyphens w:val="1"/>
        <w:bidi w:val="0"/>
        <w:ind w:right="0"/>
        <w:jc w:val="left"/>
        <w:rPr>
          <w:rFonts w:ascii="Open Sans" w:hAnsi="Open Sans"/>
          <w:sz w:val="20"/>
          <w:szCs w:val="20"/>
          <w:rtl w:val="0"/>
          <w:lang w:val="en-US"/>
        </w:rPr>
      </w:pPr>
      <w:r>
        <w:rPr>
          <w:rStyle w:val="None"/>
          <w:rFonts w:ascii="Open Sans" w:hAnsi="Open Sans"/>
          <w:sz w:val="20"/>
          <w:szCs w:val="20"/>
          <w:rtl w:val="0"/>
          <w:lang w:val="en-US"/>
        </w:rPr>
        <w:t xml:space="preserve">P </w:t>
      </w:r>
      <w:r>
        <w:rPr>
          <w:rStyle w:val="None"/>
          <w:rFonts w:ascii="Open Sans" w:hAnsi="Open Sans" w:hint="default"/>
          <w:sz w:val="20"/>
          <w:szCs w:val="20"/>
          <w:rtl w:val="0"/>
          <w:lang w:val="en-US"/>
        </w:rPr>
        <w:t xml:space="preserve">– </w:t>
      </w:r>
      <w:r>
        <w:rPr>
          <w:rStyle w:val="None"/>
          <w:rFonts w:ascii="Open Sans" w:hAnsi="Open Sans"/>
          <w:sz w:val="20"/>
          <w:szCs w:val="20"/>
          <w:rtl w:val="0"/>
          <w:lang w:val="en-US"/>
        </w:rPr>
        <w:t>is the population in the host trial so different from those already included that the current evidence does not provide sufficient certainty?</w:t>
      </w:r>
    </w:p>
    <w:p>
      <w:pPr>
        <w:pStyle w:val="Default"/>
        <w:numPr>
          <w:ilvl w:val="0"/>
          <w:numId w:val="10"/>
        </w:numPr>
        <w:pBdr>
          <w:top w:val="single" w:color="000000" w:sz="8" w:space="0" w:shadow="0" w:frame="0"/>
          <w:left w:val="single" w:color="000000" w:sz="8" w:space="0" w:shadow="0" w:frame="0"/>
          <w:bottom w:val="single" w:color="000000" w:sz="8" w:space="0" w:shadow="0" w:frame="0"/>
          <w:right w:val="single" w:color="000000" w:sz="8" w:space="0" w:shadow="0" w:frame="0"/>
        </w:pBdr>
        <w:suppressAutoHyphens w:val="1"/>
        <w:bidi w:val="0"/>
        <w:ind w:right="0"/>
        <w:jc w:val="left"/>
        <w:rPr>
          <w:rFonts w:ascii="Open Sans" w:hAnsi="Open Sans"/>
          <w:sz w:val="20"/>
          <w:szCs w:val="20"/>
          <w:rtl w:val="0"/>
          <w:lang w:val="en-US"/>
        </w:rPr>
      </w:pPr>
      <w:r>
        <w:rPr>
          <w:rStyle w:val="None"/>
          <w:rFonts w:ascii="Open Sans" w:hAnsi="Open Sans"/>
          <w:sz w:val="20"/>
          <w:szCs w:val="20"/>
          <w:rtl w:val="0"/>
          <w:lang w:val="en-US"/>
        </w:rPr>
        <w:t xml:space="preserve">I </w:t>
      </w:r>
      <w:r>
        <w:rPr>
          <w:rStyle w:val="None"/>
          <w:rFonts w:ascii="Open Sans" w:hAnsi="Open Sans" w:hint="default"/>
          <w:sz w:val="20"/>
          <w:szCs w:val="20"/>
          <w:rtl w:val="0"/>
          <w:lang w:val="en-US"/>
        </w:rPr>
        <w:t xml:space="preserve">– </w:t>
      </w:r>
      <w:r>
        <w:rPr>
          <w:rStyle w:val="None"/>
          <w:rFonts w:ascii="Open Sans" w:hAnsi="Open Sans"/>
          <w:sz w:val="20"/>
          <w:szCs w:val="20"/>
          <w:rtl w:val="0"/>
          <w:lang w:val="en-US"/>
        </w:rPr>
        <w:t>are the health interventions in the host trial so different from those already included that the current evidence does not provide sufficient certainty?</w:t>
      </w:r>
    </w:p>
    <w:p>
      <w:pPr>
        <w:pStyle w:val="Default"/>
        <w:numPr>
          <w:ilvl w:val="0"/>
          <w:numId w:val="10"/>
        </w:numPr>
        <w:pBdr>
          <w:top w:val="single" w:color="000000" w:sz="8" w:space="0" w:shadow="0" w:frame="0"/>
          <w:left w:val="single" w:color="000000" w:sz="8" w:space="0" w:shadow="0" w:frame="0"/>
          <w:bottom w:val="single" w:color="000000" w:sz="8" w:space="0" w:shadow="0" w:frame="0"/>
          <w:right w:val="single" w:color="000000" w:sz="8" w:space="0" w:shadow="0" w:frame="0"/>
        </w:pBdr>
        <w:suppressAutoHyphens w:val="1"/>
        <w:bidi w:val="0"/>
        <w:ind w:right="0"/>
        <w:jc w:val="left"/>
        <w:rPr>
          <w:rFonts w:ascii="Open Sans" w:hAnsi="Open Sans"/>
          <w:sz w:val="20"/>
          <w:szCs w:val="20"/>
          <w:rtl w:val="0"/>
          <w:lang w:val="en-US"/>
        </w:rPr>
      </w:pPr>
      <w:r>
        <w:rPr>
          <w:rStyle w:val="None"/>
          <w:rFonts w:ascii="Open Sans" w:hAnsi="Open Sans"/>
          <w:sz w:val="20"/>
          <w:szCs w:val="20"/>
          <w:rtl w:val="0"/>
          <w:lang w:val="en-US"/>
        </w:rPr>
        <w:t xml:space="preserve">C </w:t>
      </w:r>
      <w:r>
        <w:rPr>
          <w:rStyle w:val="None"/>
          <w:rFonts w:ascii="Open Sans" w:hAnsi="Open Sans" w:hint="default"/>
          <w:sz w:val="20"/>
          <w:szCs w:val="20"/>
          <w:rtl w:val="0"/>
          <w:lang w:val="en-US"/>
        </w:rPr>
        <w:t xml:space="preserve">– </w:t>
      </w:r>
      <w:r>
        <w:rPr>
          <w:rStyle w:val="None"/>
          <w:rFonts w:ascii="Open Sans" w:hAnsi="Open Sans"/>
          <w:sz w:val="20"/>
          <w:szCs w:val="20"/>
          <w:rtl w:val="0"/>
          <w:lang w:val="en-US"/>
        </w:rPr>
        <w:t>is the comparator in the host trial so different from those already included that the current evidence does not provide sufficient certainty?</w:t>
      </w:r>
    </w:p>
    <w:p>
      <w:pPr>
        <w:pStyle w:val="Default"/>
        <w:numPr>
          <w:ilvl w:val="0"/>
          <w:numId w:val="10"/>
        </w:numPr>
        <w:pBdr>
          <w:top w:val="single" w:color="000000" w:sz="8" w:space="0" w:shadow="0" w:frame="0"/>
          <w:left w:val="single" w:color="000000" w:sz="8" w:space="0" w:shadow="0" w:frame="0"/>
          <w:bottom w:val="single" w:color="000000" w:sz="8" w:space="0" w:shadow="0" w:frame="0"/>
          <w:right w:val="single" w:color="000000" w:sz="8" w:space="0" w:shadow="0" w:frame="0"/>
        </w:pBdr>
        <w:suppressAutoHyphens w:val="1"/>
        <w:bidi w:val="0"/>
        <w:ind w:right="0"/>
        <w:jc w:val="left"/>
        <w:rPr>
          <w:rFonts w:ascii="Open Sans" w:hAnsi="Open Sans"/>
          <w:sz w:val="20"/>
          <w:szCs w:val="20"/>
          <w:rtl w:val="0"/>
          <w:lang w:val="en-US"/>
        </w:rPr>
      </w:pPr>
      <w:r>
        <w:rPr>
          <w:rStyle w:val="None"/>
          <w:rFonts w:ascii="Open Sans" w:hAnsi="Open Sans"/>
          <w:sz w:val="20"/>
          <w:szCs w:val="20"/>
          <w:rtl w:val="0"/>
          <w:lang w:val="en-US"/>
        </w:rPr>
        <w:t xml:space="preserve">O </w:t>
      </w:r>
      <w:r>
        <w:rPr>
          <w:rStyle w:val="None"/>
          <w:rFonts w:ascii="Open Sans" w:hAnsi="Open Sans" w:hint="default"/>
          <w:sz w:val="20"/>
          <w:szCs w:val="20"/>
          <w:rtl w:val="0"/>
          <w:lang w:val="en-US"/>
        </w:rPr>
        <w:t xml:space="preserve">– </w:t>
      </w:r>
      <w:r>
        <w:rPr>
          <w:rStyle w:val="None"/>
          <w:rFonts w:ascii="Open Sans" w:hAnsi="Open Sans"/>
          <w:sz w:val="20"/>
          <w:szCs w:val="20"/>
          <w:rtl w:val="0"/>
          <w:lang w:val="en-US"/>
        </w:rPr>
        <w:t>is the SWAT outcome(s) so different to those used in the existing evaluations that that the current evidence does not provide sufficient certainty?</w:t>
      </w:r>
    </w:p>
    <w:p>
      <w:pPr>
        <w:pStyle w:val="Default"/>
        <w:numPr>
          <w:ilvl w:val="0"/>
          <w:numId w:val="10"/>
        </w:numPr>
        <w:pBdr>
          <w:top w:val="single" w:color="000000" w:sz="8" w:space="0" w:shadow="0" w:frame="0"/>
          <w:left w:val="single" w:color="000000" w:sz="8" w:space="0" w:shadow="0" w:frame="0"/>
          <w:bottom w:val="single" w:color="000000" w:sz="8" w:space="0" w:shadow="0" w:frame="0"/>
          <w:right w:val="single" w:color="000000" w:sz="8" w:space="0" w:shadow="0" w:frame="0"/>
        </w:pBdr>
        <w:suppressAutoHyphens w:val="1"/>
        <w:bidi w:val="0"/>
        <w:ind w:right="0"/>
        <w:jc w:val="left"/>
        <w:rPr>
          <w:rFonts w:ascii="Open Sans" w:hAnsi="Open Sans"/>
          <w:sz w:val="20"/>
          <w:szCs w:val="20"/>
          <w:rtl w:val="0"/>
          <w:lang w:val="en-US"/>
        </w:rPr>
      </w:pPr>
      <w:r>
        <w:rPr>
          <w:rStyle w:val="None"/>
          <w:rFonts w:ascii="Open Sans" w:hAnsi="Open Sans"/>
          <w:sz w:val="20"/>
          <w:szCs w:val="20"/>
          <w:rtl w:val="0"/>
          <w:lang w:val="en-US"/>
        </w:rPr>
        <w:t xml:space="preserve">T </w:t>
      </w:r>
      <w:r>
        <w:rPr>
          <w:rStyle w:val="None"/>
          <w:rFonts w:ascii="Open Sans" w:hAnsi="Open Sans" w:hint="default"/>
          <w:sz w:val="20"/>
          <w:szCs w:val="20"/>
          <w:rtl w:val="0"/>
          <w:lang w:val="en-US"/>
        </w:rPr>
        <w:t xml:space="preserve">– </w:t>
      </w:r>
      <w:r>
        <w:rPr>
          <w:rStyle w:val="None"/>
          <w:rFonts w:ascii="Open Sans" w:hAnsi="Open Sans"/>
          <w:sz w:val="20"/>
          <w:szCs w:val="20"/>
          <w:rtl w:val="0"/>
          <w:lang w:val="en-US"/>
        </w:rPr>
        <w:t>in the time since the existing evaluations were done, have regulatory, technological or societal changes made those evaluations less relevant?</w:t>
      </w:r>
    </w:p>
    <w:p>
      <w:pPr>
        <w:pStyle w:val="Default"/>
        <w:numPr>
          <w:ilvl w:val="0"/>
          <w:numId w:val="13"/>
        </w:numPr>
        <w:pBdr>
          <w:top w:val="single" w:color="000000" w:sz="8" w:space="0" w:shadow="0" w:frame="0"/>
          <w:left w:val="single" w:color="000000" w:sz="8" w:space="0" w:shadow="0" w:frame="0"/>
          <w:bottom w:val="single" w:color="000000" w:sz="8" w:space="0" w:shadow="0" w:frame="0"/>
          <w:right w:val="single" w:color="000000" w:sz="8" w:space="0" w:shadow="0" w:frame="0"/>
        </w:pBdr>
        <w:suppressAutoHyphens w:val="1"/>
        <w:bidi w:val="0"/>
        <w:ind w:right="0"/>
        <w:jc w:val="left"/>
        <w:rPr>
          <w:rFonts w:ascii="Open Sans" w:hAnsi="Open Sans"/>
          <w:sz w:val="20"/>
          <w:szCs w:val="20"/>
          <w:rtl w:val="0"/>
          <w:lang w:val="en-US"/>
        </w:rPr>
      </w:pPr>
      <w:r>
        <w:rPr>
          <w:rStyle w:val="None"/>
          <w:rFonts w:ascii="Open Sans" w:hAnsi="Open Sans"/>
          <w:i w:val="1"/>
          <w:iCs w:val="1"/>
          <w:sz w:val="20"/>
          <w:szCs w:val="20"/>
          <w:rtl w:val="0"/>
          <w:lang w:val="en-US"/>
        </w:rPr>
        <w:t>Balance</w:t>
      </w:r>
      <w:r>
        <w:rPr>
          <w:rStyle w:val="None"/>
          <w:rFonts w:ascii="Open Sans" w:hAnsi="Open Sans" w:hint="default"/>
          <w:i w:val="1"/>
          <w:iCs w:val="1"/>
          <w:sz w:val="20"/>
          <w:szCs w:val="20"/>
          <w:rtl w:val="0"/>
          <w:lang w:val="en-US"/>
        </w:rPr>
        <w:t xml:space="preserve">– </w:t>
      </w:r>
      <w:r>
        <w:rPr>
          <w:rStyle w:val="None"/>
          <w:rFonts w:ascii="Open Sans" w:hAnsi="Open Sans"/>
          <w:i w:val="1"/>
          <w:iCs w:val="1"/>
          <w:sz w:val="20"/>
          <w:szCs w:val="20"/>
          <w:rtl w:val="0"/>
          <w:lang w:val="en-US"/>
        </w:rPr>
        <w:t>participants</w:t>
      </w:r>
      <w:r>
        <w:rPr>
          <w:rStyle w:val="None"/>
          <w:rFonts w:ascii="Open Sans" w:hAnsi="Open Sans"/>
          <w:sz w:val="20"/>
          <w:szCs w:val="20"/>
          <w:rtl w:val="0"/>
          <w:lang w:val="en-US"/>
        </w:rPr>
        <w:t>: the balance of benefit and disadvantage to participants in the host trial and/or the SWAT is not clear</w:t>
      </w:r>
      <w:r>
        <w:rPr>
          <w:rStyle w:val="None"/>
          <w:rFonts w:ascii="Open Sans" w:hAnsi="Open Sans"/>
          <w:sz w:val="20"/>
          <w:szCs w:val="20"/>
          <w:vertAlign w:val="superscript"/>
          <w:rtl w:val="0"/>
          <w:lang w:val="en-US"/>
        </w:rPr>
        <w:t>v</w:t>
      </w:r>
      <w:r>
        <w:rPr>
          <w:rStyle w:val="None"/>
          <w:rFonts w:ascii="Open Sans" w:hAnsi="Open Sans"/>
          <w:sz w:val="20"/>
          <w:szCs w:val="20"/>
          <w:rtl w:val="0"/>
          <w:lang w:val="en-US"/>
        </w:rPr>
        <w:t>.</w:t>
      </w:r>
    </w:p>
    <w:p>
      <w:pPr>
        <w:pStyle w:val="Default"/>
        <w:numPr>
          <w:ilvl w:val="0"/>
          <w:numId w:val="12"/>
        </w:numPr>
        <w:pBdr>
          <w:top w:val="single" w:color="000000" w:sz="8" w:space="0" w:shadow="0" w:frame="0"/>
          <w:left w:val="single" w:color="000000" w:sz="8" w:space="0" w:shadow="0" w:frame="0"/>
          <w:bottom w:val="single" w:color="000000" w:sz="8" w:space="0" w:shadow="0" w:frame="0"/>
          <w:right w:val="single" w:color="000000" w:sz="8" w:space="0" w:shadow="0" w:frame="0"/>
        </w:pBdr>
        <w:suppressAutoHyphens w:val="1"/>
        <w:bidi w:val="0"/>
        <w:ind w:right="0"/>
        <w:jc w:val="left"/>
        <w:rPr>
          <w:rFonts w:ascii="Open Sans" w:hAnsi="Open Sans"/>
          <w:sz w:val="20"/>
          <w:szCs w:val="20"/>
          <w:rtl w:val="0"/>
          <w:lang w:val="en-US"/>
        </w:rPr>
      </w:pPr>
      <w:r>
        <w:rPr>
          <w:rStyle w:val="None"/>
          <w:rFonts w:ascii="Open Sans" w:hAnsi="Open Sans"/>
          <w:i w:val="1"/>
          <w:iCs w:val="1"/>
          <w:sz w:val="20"/>
          <w:szCs w:val="20"/>
          <w:rtl w:val="0"/>
          <w:lang w:val="en-US"/>
        </w:rPr>
        <w:t>Balance</w:t>
      </w:r>
      <w:r>
        <w:rPr>
          <w:rStyle w:val="None"/>
          <w:rFonts w:ascii="Open Sans" w:hAnsi="Open Sans" w:hint="default"/>
          <w:i w:val="1"/>
          <w:iCs w:val="1"/>
          <w:sz w:val="20"/>
          <w:szCs w:val="20"/>
          <w:rtl w:val="0"/>
          <w:lang w:val="en-US"/>
        </w:rPr>
        <w:t xml:space="preserve">– </w:t>
      </w:r>
      <w:r>
        <w:rPr>
          <w:rStyle w:val="None"/>
          <w:rFonts w:ascii="Open Sans" w:hAnsi="Open Sans"/>
          <w:i w:val="1"/>
          <w:iCs w:val="1"/>
          <w:sz w:val="20"/>
          <w:szCs w:val="20"/>
          <w:rtl w:val="0"/>
          <w:lang w:val="en-US"/>
        </w:rPr>
        <w:t>host trial</w:t>
      </w:r>
      <w:r>
        <w:rPr>
          <w:rStyle w:val="None"/>
          <w:rFonts w:ascii="Open Sans" w:hAnsi="Open Sans"/>
          <w:sz w:val="20"/>
          <w:szCs w:val="20"/>
          <w:rtl w:val="0"/>
          <w:lang w:val="en-US"/>
        </w:rPr>
        <w:t>: the balance of benefit and disadvantage to the new host trial is not clear</w:t>
      </w:r>
      <w:r>
        <w:rPr>
          <w:rStyle w:val="None"/>
          <w:rFonts w:ascii="Open Sans" w:hAnsi="Open Sans"/>
          <w:sz w:val="20"/>
          <w:szCs w:val="20"/>
          <w:vertAlign w:val="superscript"/>
          <w:rtl w:val="0"/>
          <w:lang w:val="en-US"/>
        </w:rPr>
        <w:t>vi</w:t>
      </w:r>
      <w:r>
        <w:rPr>
          <w:rStyle w:val="None"/>
          <w:rFonts w:ascii="Open Sans" w:hAnsi="Open Sans"/>
          <w:sz w:val="20"/>
          <w:szCs w:val="20"/>
          <w:rtl w:val="0"/>
          <w:lang w:val="en-US"/>
        </w:rPr>
        <w:t>.</w:t>
      </w:r>
    </w:p>
    <w:p>
      <w:pPr>
        <w:pStyle w:val="Default"/>
        <w:pBdr>
          <w:top w:val="single" w:color="000000" w:sz="8" w:space="0" w:shadow="0" w:frame="0"/>
          <w:left w:val="single" w:color="000000" w:sz="8" w:space="0" w:shadow="0" w:frame="0"/>
          <w:bottom w:val="single" w:color="000000" w:sz="8" w:space="0" w:shadow="0" w:frame="0"/>
          <w:right w:val="single" w:color="000000" w:sz="8" w:space="0" w:shadow="0" w:frame="0"/>
        </w:pBdr>
        <w:tabs>
          <w:tab w:val="left" w:pos="35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uppressAutoHyphens w:val="1"/>
        <w:rPr>
          <w:rStyle w:val="None"/>
          <w:rFonts w:ascii="Open Sans" w:cs="Open Sans" w:hAnsi="Open Sans" w:eastAsia="Open Sans"/>
          <w:sz w:val="24"/>
          <w:szCs w:val="24"/>
          <w:lang w:val="en-US"/>
        </w:rPr>
      </w:pPr>
    </w:p>
    <w:p>
      <w:pPr>
        <w:pStyle w:val="Default"/>
        <w:pBdr>
          <w:top w:val="single" w:color="000000" w:sz="8" w:space="0" w:shadow="0" w:frame="0"/>
          <w:left w:val="single" w:color="000000" w:sz="8" w:space="0" w:shadow="0" w:frame="0"/>
          <w:bottom w:val="single" w:color="000000" w:sz="8" w:space="0" w:shadow="0" w:frame="0"/>
          <w:right w:val="single" w:color="000000" w:sz="8" w:space="0" w:shadow="0" w:frame="0"/>
        </w:pBdr>
        <w:tabs>
          <w:tab w:val="left" w:pos="357"/>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uppressAutoHyphens w:val="1"/>
        <w:rPr>
          <w:rStyle w:val="None"/>
          <w:rFonts w:ascii="Open Sans" w:cs="Open Sans" w:hAnsi="Open Sans" w:eastAsia="Open Sans"/>
          <w:b w:val="1"/>
          <w:bCs w:val="1"/>
          <w:sz w:val="18"/>
          <w:szCs w:val="18"/>
        </w:rPr>
      </w:pPr>
      <w:r>
        <w:rPr>
          <w:rStyle w:val="None"/>
          <w:rFonts w:ascii="Open Sans" w:hAnsi="Open Sans"/>
          <w:b w:val="1"/>
          <w:bCs w:val="1"/>
          <w:sz w:val="24"/>
          <w:szCs w:val="24"/>
          <w:rtl w:val="0"/>
          <w:lang w:val="en-US"/>
        </w:rPr>
        <w:t>Notes</w:t>
      </w:r>
    </w:p>
    <w:p>
      <w:pPr>
        <w:pStyle w:val="Default"/>
        <w:numPr>
          <w:ilvl w:val="0"/>
          <w:numId w:val="15"/>
        </w:numPr>
        <w:pBdr>
          <w:top w:val="single" w:color="000000" w:sz="8" w:space="0" w:shadow="0" w:frame="0"/>
          <w:left w:val="single" w:color="000000" w:sz="8" w:space="0" w:shadow="0" w:frame="0"/>
          <w:bottom w:val="single" w:color="000000" w:sz="8" w:space="0" w:shadow="0" w:frame="0"/>
          <w:right w:val="single" w:color="000000" w:sz="8" w:space="0" w:shadow="0" w:frame="0"/>
        </w:pBdr>
        <w:suppressAutoHyphens w:val="1"/>
        <w:bidi w:val="0"/>
        <w:ind w:right="0"/>
        <w:jc w:val="left"/>
        <w:rPr>
          <w:rFonts w:ascii="Open Sans" w:hAnsi="Open Sans"/>
          <w:sz w:val="18"/>
          <w:szCs w:val="18"/>
          <w:rtl w:val="0"/>
          <w:lang w:val="en-US"/>
        </w:rPr>
      </w:pPr>
      <w:r>
        <w:rPr>
          <w:rStyle w:val="None"/>
          <w:rFonts w:ascii="Open Sans" w:hAnsi="Open Sans"/>
          <w:sz w:val="18"/>
          <w:szCs w:val="18"/>
          <w:rtl w:val="0"/>
          <w:lang w:val="en-US"/>
        </w:rPr>
        <w:t xml:space="preserve">A GRADE assessment of </w:t>
      </w:r>
      <w:r>
        <w:rPr>
          <w:rStyle w:val="None"/>
          <w:rFonts w:ascii="Open Sans" w:hAnsi="Open Sans" w:hint="default"/>
          <w:sz w:val="18"/>
          <w:szCs w:val="18"/>
          <w:rtl w:val="0"/>
          <w:lang w:val="en-US"/>
        </w:rPr>
        <w:t>‘</w:t>
      </w:r>
      <w:r>
        <w:rPr>
          <w:rStyle w:val="None"/>
          <w:rFonts w:ascii="Open Sans" w:hAnsi="Open Sans"/>
          <w:sz w:val="18"/>
          <w:szCs w:val="18"/>
          <w:rtl w:val="0"/>
          <w:lang w:val="en-US"/>
        </w:rPr>
        <w:t>high</w:t>
      </w:r>
      <w:r>
        <w:rPr>
          <w:rStyle w:val="None"/>
          <w:rFonts w:ascii="Open Sans" w:hAnsi="Open Sans" w:hint="default"/>
          <w:sz w:val="18"/>
          <w:szCs w:val="18"/>
          <w:rtl w:val="0"/>
          <w:lang w:val="en-US"/>
        </w:rPr>
        <w:t xml:space="preserve">’ </w:t>
      </w:r>
      <w:r>
        <w:rPr>
          <w:rStyle w:val="None"/>
          <w:rFonts w:ascii="Open Sans" w:hAnsi="Open Sans"/>
          <w:sz w:val="18"/>
          <w:szCs w:val="18"/>
          <w:rtl w:val="0"/>
          <w:lang w:val="en-US"/>
        </w:rPr>
        <w:t>means that we are confident that the true effect lies close to the estimate of effect coming from the cumulative meta-analysis.  In Cochrane</w:t>
      </w:r>
      <w:r>
        <w:rPr>
          <w:rStyle w:val="None"/>
          <w:rFonts w:ascii="Open Sans" w:hAnsi="Open Sans" w:hint="default"/>
          <w:sz w:val="18"/>
          <w:szCs w:val="18"/>
          <w:rtl w:val="0"/>
          <w:lang w:val="en-US"/>
        </w:rPr>
        <w:t>’</w:t>
      </w:r>
      <w:r>
        <w:rPr>
          <w:rStyle w:val="None"/>
          <w:rFonts w:ascii="Open Sans" w:hAnsi="Open Sans"/>
          <w:sz w:val="18"/>
          <w:szCs w:val="18"/>
          <w:rtl w:val="0"/>
          <w:lang w:val="en-US"/>
        </w:rPr>
        <w:t>s deliberations as to when to close a Cochrane Review (</w:t>
      </w:r>
      <w:r>
        <w:rPr>
          <w:rStyle w:val="Hyperlink.1"/>
          <w:rFonts w:ascii="Open Sans" w:cs="Open Sans" w:hAnsi="Open Sans" w:eastAsia="Open Sans"/>
          <w:sz w:val="18"/>
          <w:szCs w:val="18"/>
        </w:rPr>
        <w:fldChar w:fldCharType="begin" w:fldLock="0"/>
      </w:r>
      <w:r>
        <w:rPr>
          <w:rStyle w:val="Hyperlink.1"/>
          <w:rFonts w:ascii="Open Sans" w:cs="Open Sans" w:hAnsi="Open Sans" w:eastAsia="Open Sans"/>
          <w:sz w:val="18"/>
          <w:szCs w:val="18"/>
        </w:rPr>
        <w:instrText xml:space="preserve"> HYPERLINK "https://www.cochranelibrary.com/cdsr/doi/10.1002/14651858.ED000107/full"</w:instrText>
      </w:r>
      <w:r>
        <w:rPr>
          <w:rStyle w:val="Hyperlink.1"/>
          <w:rFonts w:ascii="Open Sans" w:cs="Open Sans" w:hAnsi="Open Sans" w:eastAsia="Open Sans"/>
          <w:sz w:val="18"/>
          <w:szCs w:val="18"/>
        </w:rPr>
        <w:fldChar w:fldCharType="separate" w:fldLock="0"/>
      </w:r>
      <w:r>
        <w:rPr>
          <w:rStyle w:val="Hyperlink.1"/>
          <w:rFonts w:ascii="Open Sans" w:hAnsi="Open Sans"/>
          <w:sz w:val="18"/>
          <w:szCs w:val="18"/>
          <w:rtl w:val="0"/>
          <w:lang w:val="en-US"/>
        </w:rPr>
        <w:t>https://www.cochranelibrary.com/cdsr/doi/10.1002/14651858.ED000107/full</w:t>
      </w:r>
      <w:r>
        <w:rPr>
          <w:rFonts w:ascii="Open Sans" w:cs="Open Sans" w:hAnsi="Open Sans" w:eastAsia="Open Sans"/>
          <w:sz w:val="18"/>
          <w:szCs w:val="18"/>
        </w:rPr>
        <w:fldChar w:fldCharType="end" w:fldLock="0"/>
      </w:r>
      <w:r>
        <w:rPr>
          <w:rStyle w:val="None"/>
          <w:rFonts w:ascii="Open Sans" w:hAnsi="Open Sans"/>
          <w:sz w:val="18"/>
          <w:szCs w:val="18"/>
          <w:rtl w:val="0"/>
          <w:lang w:val="en-US"/>
        </w:rPr>
        <w:t xml:space="preserve">), the collaboration chose not to require </w:t>
      </w:r>
      <w:r>
        <w:rPr>
          <w:rStyle w:val="None"/>
          <w:rFonts w:ascii="Open Sans" w:hAnsi="Open Sans" w:hint="default"/>
          <w:sz w:val="18"/>
          <w:szCs w:val="18"/>
          <w:rtl w:val="0"/>
          <w:lang w:val="en-US"/>
        </w:rPr>
        <w:t>‘</w:t>
      </w:r>
      <w:r>
        <w:rPr>
          <w:rStyle w:val="None"/>
          <w:rFonts w:ascii="Open Sans" w:hAnsi="Open Sans"/>
          <w:sz w:val="18"/>
          <w:szCs w:val="18"/>
          <w:rtl w:val="0"/>
          <w:lang w:val="en-US"/>
        </w:rPr>
        <w:t>high</w:t>
      </w:r>
      <w:r>
        <w:rPr>
          <w:rStyle w:val="None"/>
          <w:rFonts w:ascii="Open Sans" w:hAnsi="Open Sans" w:hint="default"/>
          <w:sz w:val="18"/>
          <w:szCs w:val="18"/>
          <w:rtl w:val="0"/>
          <w:lang w:val="en-US"/>
        </w:rPr>
        <w:t xml:space="preserve">’ </w:t>
      </w:r>
      <w:r>
        <w:rPr>
          <w:rStyle w:val="None"/>
          <w:rFonts w:ascii="Open Sans" w:hAnsi="Open Sans"/>
          <w:sz w:val="18"/>
          <w:szCs w:val="18"/>
          <w:rtl w:val="0"/>
          <w:lang w:val="en-US"/>
        </w:rPr>
        <w:t xml:space="preserve">GRADE certainty in the evidence because it was felt that this may not always be achievable. Although we recognise the pragmatic nature of this, we recommend </w:t>
      </w:r>
      <w:r>
        <w:rPr>
          <w:rStyle w:val="None"/>
          <w:rFonts w:ascii="Open Sans" w:hAnsi="Open Sans" w:hint="default"/>
          <w:sz w:val="18"/>
          <w:szCs w:val="18"/>
          <w:rtl w:val="0"/>
          <w:lang w:val="en-US"/>
        </w:rPr>
        <w:t>‘</w:t>
      </w:r>
      <w:r>
        <w:rPr>
          <w:rStyle w:val="None"/>
          <w:rFonts w:ascii="Open Sans" w:hAnsi="Open Sans"/>
          <w:sz w:val="18"/>
          <w:szCs w:val="18"/>
          <w:rtl w:val="0"/>
          <w:lang w:val="en-US"/>
        </w:rPr>
        <w:t>high</w:t>
      </w:r>
      <w:r>
        <w:rPr>
          <w:rStyle w:val="None"/>
          <w:rFonts w:ascii="Open Sans" w:hAnsi="Open Sans" w:hint="default"/>
          <w:sz w:val="18"/>
          <w:szCs w:val="18"/>
          <w:rtl w:val="0"/>
          <w:lang w:val="en-US"/>
        </w:rPr>
        <w:t xml:space="preserve">‘ </w:t>
      </w:r>
      <w:r>
        <w:rPr>
          <w:rStyle w:val="None"/>
          <w:rFonts w:ascii="Open Sans" w:hAnsi="Open Sans"/>
          <w:sz w:val="18"/>
          <w:szCs w:val="18"/>
          <w:rtl w:val="0"/>
          <w:lang w:val="en-US"/>
        </w:rPr>
        <w:t>in our criteria because SWATs are usually simple studies for which it should be possible to generate high certainty evidence. We will, however, keep this criterion under review to consider whether it needs relaxing.</w:t>
      </w:r>
    </w:p>
    <w:p>
      <w:pPr>
        <w:pStyle w:val="Default"/>
        <w:numPr>
          <w:ilvl w:val="0"/>
          <w:numId w:val="15"/>
        </w:numPr>
        <w:pBdr>
          <w:top w:val="single" w:color="000000" w:sz="8" w:space="0" w:shadow="0" w:frame="0"/>
          <w:left w:val="single" w:color="000000" w:sz="8" w:space="0" w:shadow="0" w:frame="0"/>
          <w:bottom w:val="single" w:color="000000" w:sz="8" w:space="0" w:shadow="0" w:frame="0"/>
          <w:right w:val="single" w:color="000000" w:sz="8" w:space="0" w:shadow="0" w:frame="0"/>
        </w:pBdr>
        <w:suppressAutoHyphens w:val="1"/>
        <w:bidi w:val="0"/>
        <w:ind w:right="0"/>
        <w:jc w:val="left"/>
        <w:rPr>
          <w:rFonts w:ascii="Open Sans" w:hAnsi="Open Sans"/>
          <w:sz w:val="18"/>
          <w:szCs w:val="18"/>
          <w:rtl w:val="0"/>
          <w:lang w:val="en-US"/>
        </w:rPr>
      </w:pPr>
      <w:r>
        <w:rPr>
          <w:rStyle w:val="None"/>
          <w:rFonts w:ascii="Open Sans" w:hAnsi="Open Sans"/>
          <w:sz w:val="18"/>
          <w:szCs w:val="18"/>
          <w:rtl w:val="0"/>
          <w:lang w:val="en-US"/>
        </w:rPr>
        <w:t xml:space="preserve">This is a judgement that depends on the behaviour of the effect estimates and on whether the confidence intervals include the threshold for an important benefit (or disadvantage).  For example, if there is drift in the effect estimates of a meta-analyses but the confidence intervals around the estimates are consistently above what you think is an important benefit (or below a relevant disadvantage) then the cumulative meta-analysis can be judged to have converged despite movement in the effect estimates.  For more on GRADE see </w:t>
      </w:r>
      <w:r>
        <w:rPr>
          <w:rStyle w:val="Hyperlink.1"/>
          <w:rFonts w:ascii="Open Sans" w:cs="Open Sans" w:hAnsi="Open Sans" w:eastAsia="Open Sans"/>
          <w:sz w:val="18"/>
          <w:szCs w:val="18"/>
        </w:rPr>
        <w:fldChar w:fldCharType="begin" w:fldLock="0"/>
      </w:r>
      <w:r>
        <w:rPr>
          <w:rStyle w:val="Hyperlink.1"/>
          <w:rFonts w:ascii="Open Sans" w:cs="Open Sans" w:hAnsi="Open Sans" w:eastAsia="Open Sans"/>
          <w:sz w:val="18"/>
          <w:szCs w:val="18"/>
        </w:rPr>
        <w:instrText xml:space="preserve"> HYPERLINK "http://www.gradeworkinggroup.org"</w:instrText>
      </w:r>
      <w:r>
        <w:rPr>
          <w:rStyle w:val="Hyperlink.1"/>
          <w:rFonts w:ascii="Open Sans" w:cs="Open Sans" w:hAnsi="Open Sans" w:eastAsia="Open Sans"/>
          <w:sz w:val="18"/>
          <w:szCs w:val="18"/>
        </w:rPr>
        <w:fldChar w:fldCharType="separate" w:fldLock="0"/>
      </w:r>
      <w:r>
        <w:rPr>
          <w:rStyle w:val="Hyperlink.1"/>
          <w:rFonts w:ascii="Open Sans" w:hAnsi="Open Sans"/>
          <w:sz w:val="18"/>
          <w:szCs w:val="18"/>
          <w:rtl w:val="0"/>
          <w:lang w:val="en-US"/>
        </w:rPr>
        <w:t>http://www.gradeworkinggroup.org</w:t>
      </w:r>
      <w:r>
        <w:rPr>
          <w:rFonts w:ascii="Open Sans" w:cs="Open Sans" w:hAnsi="Open Sans" w:eastAsia="Open Sans"/>
          <w:sz w:val="18"/>
          <w:szCs w:val="18"/>
        </w:rPr>
        <w:fldChar w:fldCharType="end" w:fldLock="0"/>
      </w:r>
      <w:r>
        <w:rPr>
          <w:rStyle w:val="None"/>
          <w:rFonts w:ascii="Open Sans" w:hAnsi="Open Sans"/>
          <w:sz w:val="18"/>
          <w:szCs w:val="18"/>
          <w:rtl w:val="0"/>
          <w:lang w:val="en-US"/>
        </w:rPr>
        <w:t xml:space="preserve">. </w:t>
      </w:r>
    </w:p>
    <w:p>
      <w:pPr>
        <w:pStyle w:val="Default"/>
        <w:numPr>
          <w:ilvl w:val="0"/>
          <w:numId w:val="15"/>
        </w:numPr>
        <w:pBdr>
          <w:top w:val="single" w:color="000000" w:sz="8" w:space="0" w:shadow="0" w:frame="0"/>
          <w:left w:val="single" w:color="000000" w:sz="8" w:space="0" w:shadow="0" w:frame="0"/>
          <w:bottom w:val="single" w:color="000000" w:sz="8" w:space="0" w:shadow="0" w:frame="0"/>
          <w:right w:val="single" w:color="000000" w:sz="8" w:space="0" w:shadow="0" w:frame="0"/>
        </w:pBdr>
        <w:suppressAutoHyphens w:val="1"/>
        <w:bidi w:val="0"/>
        <w:ind w:right="0"/>
        <w:jc w:val="left"/>
        <w:rPr>
          <w:rFonts w:ascii="Open Sans" w:hAnsi="Open Sans"/>
          <w:sz w:val="18"/>
          <w:szCs w:val="18"/>
          <w:rtl w:val="0"/>
          <w:lang w:val="en-US"/>
        </w:rPr>
      </w:pPr>
      <w:r>
        <w:rPr>
          <w:rStyle w:val="None"/>
          <w:rFonts w:ascii="Open Sans" w:hAnsi="Open Sans"/>
          <w:sz w:val="18"/>
          <w:szCs w:val="18"/>
          <w:rtl w:val="0"/>
          <w:lang w:val="en-US"/>
        </w:rPr>
        <w:t>A cumulative meta-analysis requires the same outcomes to have been measured in the same way in the studies to be combined.  Most SWAT protocols specify just one or perhaps two outcomes, which reduces the scope for different outcomes between evaluations.  Tighter specification of outcomes on SWAT protocols would help even more (e.g. retention sounds simple but could mean the proportion of participants who remain in the trial, the proportion who return a form, or the proportion who fully complete all forms).  Core outcome sets for trial processes may help and this is being done in ELICIT for interventions to improve informed consent</w:t>
      </w:r>
      <w:r>
        <w:rPr>
          <w:rStyle w:val="None"/>
          <w:rFonts w:ascii="Open Sans" w:hAnsi="Open Sans"/>
          <w:sz w:val="18"/>
          <w:szCs w:val="18"/>
          <w:vertAlign w:val="superscript"/>
          <w:rtl w:val="0"/>
          <w:lang w:val="en-US"/>
        </w:rPr>
        <w:t>24</w:t>
      </w:r>
      <w:r>
        <w:rPr>
          <w:rStyle w:val="None"/>
          <w:rFonts w:ascii="Open Sans" w:hAnsi="Open Sans"/>
          <w:sz w:val="18"/>
          <w:szCs w:val="18"/>
          <w:rtl w:val="0"/>
          <w:lang w:val="en-US"/>
        </w:rPr>
        <w:t>.</w:t>
      </w:r>
    </w:p>
    <w:p>
      <w:pPr>
        <w:pStyle w:val="Default"/>
        <w:numPr>
          <w:ilvl w:val="0"/>
          <w:numId w:val="15"/>
        </w:numPr>
        <w:pBdr>
          <w:top w:val="single" w:color="000000" w:sz="8" w:space="0" w:shadow="0" w:frame="0"/>
          <w:left w:val="single" w:color="000000" w:sz="8" w:space="0" w:shadow="0" w:frame="0"/>
          <w:bottom w:val="single" w:color="000000" w:sz="8" w:space="0" w:shadow="0" w:frame="0"/>
          <w:right w:val="single" w:color="000000" w:sz="8" w:space="0" w:shadow="0" w:frame="0"/>
        </w:pBdr>
        <w:suppressAutoHyphens w:val="1"/>
        <w:bidi w:val="0"/>
        <w:ind w:right="0"/>
        <w:jc w:val="left"/>
        <w:rPr>
          <w:rFonts w:ascii="Open Sans" w:hAnsi="Open Sans"/>
          <w:sz w:val="18"/>
          <w:szCs w:val="18"/>
          <w:rtl w:val="0"/>
          <w:lang w:val="en-US"/>
        </w:rPr>
      </w:pPr>
      <w:r>
        <w:rPr>
          <w:rStyle w:val="None"/>
          <w:rFonts w:ascii="Open Sans" w:hAnsi="Open Sans"/>
          <w:sz w:val="18"/>
          <w:szCs w:val="18"/>
          <w:rtl w:val="0"/>
          <w:lang w:val="en-US"/>
        </w:rPr>
        <w:t xml:space="preserve">This is to provide reassurance about the applicability of the result to different types of trials.  Care is needed to avoid a default position of insisting on an evaluation in every conceivable context.  In other words, is there any reason to believe that the intervention would </w:t>
      </w:r>
      <w:r>
        <w:rPr>
          <w:rStyle w:val="None"/>
          <w:rFonts w:ascii="Open Sans" w:hAnsi="Open Sans"/>
          <w:i w:val="1"/>
          <w:iCs w:val="1"/>
          <w:sz w:val="18"/>
          <w:szCs w:val="18"/>
          <w:rtl w:val="0"/>
          <w:lang w:val="en-US"/>
        </w:rPr>
        <w:t>not</w:t>
      </w:r>
      <w:r>
        <w:rPr>
          <w:rStyle w:val="None"/>
          <w:rFonts w:ascii="Open Sans" w:hAnsi="Open Sans"/>
          <w:sz w:val="18"/>
          <w:szCs w:val="18"/>
          <w:rtl w:val="0"/>
          <w:lang w:val="en-US"/>
        </w:rPr>
        <w:t xml:space="preserve"> work in your context given the contexts already studied?  It is possible that evidence from SWATs will eventually splinter off to focus specifically on certain contexts but, for now, we suggest pooling evaluations of the same intervention because there are so few SWAT evaluations of any intervention and this pooling will provide a basic foundation on which to build. </w:t>
      </w:r>
    </w:p>
    <w:p>
      <w:pPr>
        <w:pStyle w:val="Default"/>
        <w:numPr>
          <w:ilvl w:val="0"/>
          <w:numId w:val="15"/>
        </w:numPr>
        <w:pBdr>
          <w:top w:val="single" w:color="000000" w:sz="8" w:space="0" w:shadow="0" w:frame="0"/>
          <w:left w:val="single" w:color="000000" w:sz="8" w:space="0" w:shadow="0" w:frame="0"/>
          <w:bottom w:val="single" w:color="000000" w:sz="8" w:space="0" w:shadow="0" w:frame="0"/>
          <w:right w:val="single" w:color="000000" w:sz="8" w:space="0" w:shadow="0" w:frame="0"/>
        </w:pBdr>
        <w:suppressAutoHyphens w:val="1"/>
        <w:bidi w:val="0"/>
        <w:ind w:right="0"/>
        <w:jc w:val="left"/>
        <w:rPr>
          <w:rFonts w:ascii="Open Sans" w:hAnsi="Open Sans"/>
          <w:sz w:val="18"/>
          <w:szCs w:val="18"/>
          <w:rtl w:val="0"/>
          <w:lang w:val="en-US"/>
        </w:rPr>
      </w:pPr>
      <w:r>
        <w:rPr>
          <w:rStyle w:val="None"/>
          <w:rFonts w:ascii="Open Sans" w:hAnsi="Open Sans"/>
          <w:sz w:val="18"/>
          <w:szCs w:val="18"/>
          <w:rtl w:val="0"/>
          <w:lang w:val="en-US"/>
        </w:rPr>
        <w:t xml:space="preserve">Where there may be no conceivable benefit or disadvantage for participants, they should be considered as balanced. </w:t>
      </w:r>
    </w:p>
    <w:p>
      <w:pPr>
        <w:pStyle w:val="Default"/>
        <w:numPr>
          <w:ilvl w:val="0"/>
          <w:numId w:val="15"/>
        </w:numPr>
        <w:pBdr>
          <w:top w:val="single" w:color="000000" w:sz="8" w:space="0" w:shadow="0" w:frame="0"/>
          <w:left w:val="single" w:color="000000" w:sz="8" w:space="0" w:shadow="0" w:frame="0"/>
          <w:bottom w:val="single" w:color="000000" w:sz="8" w:space="0" w:shadow="0" w:frame="0"/>
          <w:right w:val="single" w:color="000000" w:sz="8" w:space="0" w:shadow="0" w:frame="0"/>
        </w:pBdr>
        <w:suppressAutoHyphens w:val="1"/>
        <w:bidi w:val="0"/>
        <w:ind w:right="0"/>
        <w:jc w:val="left"/>
        <w:rPr>
          <w:rFonts w:ascii="Open Sans" w:hAnsi="Open Sans"/>
          <w:sz w:val="18"/>
          <w:szCs w:val="18"/>
          <w:rtl w:val="0"/>
          <w:lang w:val="en-US"/>
        </w:rPr>
      </w:pPr>
      <w:r>
        <w:rPr>
          <w:rStyle w:val="None"/>
          <w:rFonts w:ascii="Open Sans" w:hAnsi="Open Sans"/>
          <w:sz w:val="18"/>
          <w:szCs w:val="18"/>
          <w:rtl w:val="0"/>
          <w:lang w:val="en-US"/>
        </w:rPr>
        <w:t>A benefit might be that the host trial recruits faster, or its data quality is improved.  Examples of disadvantages might be that there are added costs to the host trial, or that a new task is introduced into the workload of trial managers.</w:t>
      </w:r>
    </w:p>
    <w:sectPr>
      <w:headerReference w:type="default" r:id="rId5"/>
      <w:footerReference w:type="default" r:id="rId6"/>
      <w:pgSz w:w="11900" w:h="16840"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Open Sans">
    <w:charset w:val="00"/>
    <w:family w:val="roman"/>
    <w:pitch w:val="default"/>
  </w:font>
  <w:font w:name="Open Sans Semibold">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4819"/>
        <w:tab w:val="right" w:pos="9612"/>
        <w:tab w:val="clear" w:pos="9020"/>
      </w:tabs>
    </w:pPr>
    <w:r>
      <w:rPr>
        <w:rFonts w:ascii="Open Sans" w:hAnsi="Open Sans"/>
        <w:sz w:val="18"/>
        <w:szCs w:val="18"/>
      </w:rPr>
      <w:tab/>
    </w:r>
    <w:r>
      <w:rPr>
        <w:rFonts w:ascii="Open Sans" w:hAnsi="Open Sans"/>
        <w:sz w:val="18"/>
        <w:szCs w:val="18"/>
        <w:rtl w:val="0"/>
        <w:lang w:val="en-US"/>
      </w:rPr>
      <w:t xml:space="preserve">Page </w:t>
    </w:r>
    <w:r>
      <w:rPr>
        <w:rFonts w:ascii="Open Sans" w:cs="Open Sans" w:hAnsi="Open Sans" w:eastAsia="Open Sans"/>
        <w:sz w:val="18"/>
        <w:szCs w:val="18"/>
        <w:rtl w:val="0"/>
      </w:rPr>
      <w:fldChar w:fldCharType="begin" w:fldLock="0"/>
    </w:r>
    <w:r>
      <w:rPr>
        <w:rFonts w:ascii="Open Sans" w:cs="Open Sans" w:hAnsi="Open Sans" w:eastAsia="Open Sans"/>
        <w:sz w:val="18"/>
        <w:szCs w:val="18"/>
        <w:rtl w:val="0"/>
      </w:rPr>
      <w:instrText xml:space="preserve"> PAGE </w:instrText>
    </w:r>
    <w:r>
      <w:rPr>
        <w:rFonts w:ascii="Open Sans" w:cs="Open Sans" w:hAnsi="Open Sans" w:eastAsia="Open Sans"/>
        <w:sz w:val="18"/>
        <w:szCs w:val="18"/>
        <w:rtl w:val="0"/>
      </w:rPr>
      <w:fldChar w:fldCharType="separate" w:fldLock="0"/>
    </w:r>
    <w:r>
      <w:rPr>
        <w:rFonts w:ascii="Open Sans" w:cs="Open Sans" w:hAnsi="Open Sans" w:eastAsia="Open Sans"/>
        <w:sz w:val="18"/>
        <w:szCs w:val="18"/>
        <w:rtl w:val="0"/>
      </w:rPr>
      <w:t>1</w:t>
    </w:r>
    <w:r>
      <w:rPr>
        <w:rFonts w:ascii="Open Sans" w:cs="Open Sans" w:hAnsi="Open Sans" w:eastAsia="Open Sans"/>
        <w:sz w:val="18"/>
        <w:szCs w:val="18"/>
        <w:rtl w:val="0"/>
      </w:rPr>
      <w:fldChar w:fldCharType="end" w:fldLock="0"/>
    </w:r>
    <w:r>
      <w:rPr>
        <w:rFonts w:ascii="Open Sans" w:hAnsi="Open Sans"/>
        <w:sz w:val="18"/>
        <w:szCs w:val="18"/>
        <w:rtl w:val="0"/>
        <w:lang w:val="en-US"/>
      </w:rPr>
      <w:t xml:space="preserve"> of </w:t>
    </w:r>
    <w:r>
      <w:rPr>
        <w:rFonts w:ascii="Open Sans" w:cs="Open Sans" w:hAnsi="Open Sans" w:eastAsia="Open Sans"/>
        <w:sz w:val="18"/>
        <w:szCs w:val="18"/>
        <w:rtl w:val="0"/>
      </w:rPr>
      <w:fldChar w:fldCharType="begin" w:fldLock="0"/>
    </w:r>
    <w:r>
      <w:rPr>
        <w:rFonts w:ascii="Open Sans" w:cs="Open Sans" w:hAnsi="Open Sans" w:eastAsia="Open Sans"/>
        <w:sz w:val="18"/>
        <w:szCs w:val="18"/>
        <w:rtl w:val="0"/>
      </w:rPr>
      <w:instrText xml:space="preserve"> NUMPAGES </w:instrText>
    </w:r>
    <w:r>
      <w:rPr>
        <w:rFonts w:ascii="Open Sans" w:cs="Open Sans" w:hAnsi="Open Sans" w:eastAsia="Open Sans"/>
        <w:sz w:val="18"/>
        <w:szCs w:val="18"/>
        <w:rtl w:val="0"/>
      </w:rPr>
      <w:fldChar w:fldCharType="separate" w:fldLock="0"/>
    </w:r>
    <w:r>
      <w:rPr>
        <w:rFonts w:ascii="Open Sans" w:cs="Open Sans" w:hAnsi="Open Sans" w:eastAsia="Open Sans"/>
        <w:sz w:val="18"/>
        <w:szCs w:val="18"/>
        <w:rtl w:val="0"/>
      </w:rPr>
      <w:t>1</w:t>
    </w:r>
    <w:r>
      <w:rPr>
        <w:rFonts w:ascii="Open Sans" w:cs="Open Sans" w:hAnsi="Open Sans" w:eastAsia="Open Sans"/>
        <w:sz w:val="18"/>
        <w:szCs w:val="18"/>
        <w:rtl w:val="0"/>
      </w:rPr>
      <w:fldChar w:fldCharType="end" w:fldLock="0"/>
    </w:r>
    <w:r>
      <w:rPr>
        <w:rFonts w:ascii="Open Sans" w:cs="Open Sans" w:hAnsi="Open Sans" w:eastAsia="Open Sans"/>
        <w:sz w:val="18"/>
        <w:szCs w:val="18"/>
      </w:rPr>
      <w:tab/>
    </w:r>
    <w:r>
      <w:rPr>
        <w:rFonts w:ascii="Open Sans" w:hAnsi="Open Sans"/>
        <w:sz w:val="18"/>
        <w:szCs w:val="18"/>
        <w:rtl w:val="0"/>
        <w:lang w:val="en-US"/>
      </w:rPr>
      <w:t>30/11</w:t>
    </w:r>
    <w:r>
      <w:rPr>
        <w:rFonts w:ascii="Open Sans" w:hAnsi="Open Sans"/>
        <w:sz w:val="18"/>
        <w:szCs w:val="18"/>
        <w:rtl w:val="0"/>
        <w:lang w:val="en-US"/>
      </w:rPr>
      <w:t>/2021</w:t>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lowerRoman"/>
      <w:suff w:val="tab"/>
      <w:lvlText w:val="%1)"/>
      <w:lvlJc w:val="left"/>
      <w:pPr>
        <w:ind w:left="5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Roman"/>
      <w:suff w:val="tab"/>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tabs>
          <w:tab w:val="clear" w:pos="1701"/>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lowerRoman"/>
      <w:suff w:val="tab"/>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Roman"/>
      <w:suff w:val="tab"/>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lowerRoman"/>
      <w:suff w:val="tab"/>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Roman"/>
      <w:suff w:val="tab"/>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Imported Style 2"/>
  </w:abstractNum>
  <w:abstractNum w:abstractNumId="3">
    <w:multiLevelType w:val="hybridMultilevel"/>
    <w:styleLink w:val="Imported Style 2"/>
    <w:lvl w:ilvl="0">
      <w:start w:val="1"/>
      <w:numFmt w:val="bullet"/>
      <w:suff w:val="tab"/>
      <w:lvlText w:val="•"/>
      <w:lvlJc w:val="left"/>
      <w:pPr>
        <w:ind w:left="560" w:hanging="360"/>
      </w:pPr>
      <w:rPr>
        <w:rFonts w:ascii="Open Sans" w:cs="Open Sans" w:hAnsi="Open Sans" w:eastAsia="Open Sans"/>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1080" w:hanging="360"/>
      </w:pPr>
      <w:rPr>
        <w:rFonts w:ascii="Open Sans" w:cs="Open Sans" w:hAnsi="Open Sans" w:eastAsia="Open San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tabs>
          <w:tab w:val="clear" w:pos="1701"/>
        </w:tabs>
        <w:ind w:left="1800" w:hanging="360"/>
      </w:pPr>
      <w:rPr>
        <w:rFonts w:ascii="Open Sans" w:cs="Open Sans" w:hAnsi="Open Sans" w:eastAsia="Open San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520" w:hanging="360"/>
      </w:pPr>
      <w:rPr>
        <w:rFonts w:ascii="Open Sans" w:cs="Open Sans" w:hAnsi="Open Sans" w:eastAsia="Open San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3240" w:hanging="360"/>
      </w:pPr>
      <w:rPr>
        <w:rFonts w:ascii="Open Sans" w:cs="Open Sans" w:hAnsi="Open Sans" w:eastAsia="Open San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3960" w:hanging="360"/>
      </w:pPr>
      <w:rPr>
        <w:rFonts w:ascii="Open Sans" w:cs="Open Sans" w:hAnsi="Open Sans" w:eastAsia="Open San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680" w:hanging="360"/>
      </w:pPr>
      <w:rPr>
        <w:rFonts w:ascii="Open Sans" w:cs="Open Sans" w:hAnsi="Open Sans" w:eastAsia="Open San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5400" w:hanging="360"/>
      </w:pPr>
      <w:rPr>
        <w:rFonts w:ascii="Open Sans" w:cs="Open Sans" w:hAnsi="Open Sans" w:eastAsia="Open San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120" w:hanging="360"/>
      </w:pPr>
      <w:rPr>
        <w:rFonts w:ascii="Open Sans" w:cs="Open Sans" w:hAnsi="Open Sans" w:eastAsia="Open San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List 1"/>
  </w:abstractNum>
  <w:abstractNum w:abstractNumId="5">
    <w:multiLevelType w:val="hybridMultilevel"/>
    <w:styleLink w:val="List 1"/>
    <w:lvl w:ilvl="0">
      <w:start w:val="1"/>
      <w:numFmt w:val="decimal"/>
      <w:suff w:val="tab"/>
      <w:lvlText w:val="%1."/>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357" w:hanging="357"/>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suff w:val="tab"/>
      <w:lvlText w:val="%2."/>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1077" w:hanging="357"/>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suff w:val="tab"/>
      <w:lvlText w:val="%3."/>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1797" w:hanging="357"/>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suff w:val="tab"/>
      <w:lvlText w:val="%4."/>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2517" w:hanging="357"/>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suff w:val="tab"/>
      <w:lvlText w:val="%5."/>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3237" w:hanging="357"/>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suff w:val="tab"/>
      <w:lvlText w:val="%6."/>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3957" w:hanging="357"/>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suff w:val="tab"/>
      <w:lvlText w:val="%7."/>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4677" w:hanging="357"/>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suff w:val="tab"/>
      <w:lvlText w:val="%8."/>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5397" w:hanging="357"/>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suff w:val="tab"/>
      <w:lvlText w:val="%9."/>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6117" w:hanging="357"/>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
    <w:multiLevelType w:val="hybridMultilevel"/>
    <w:numStyleLink w:val="List 2"/>
  </w:abstractNum>
  <w:abstractNum w:abstractNumId="7">
    <w:multiLevelType w:val="hybridMultilevel"/>
    <w:styleLink w:val="List 2"/>
    <w:lvl w:ilvl="0">
      <w:start w:val="1"/>
      <w:numFmt w:val="bullet"/>
      <w:suff w:val="tab"/>
      <w:lvlText w:val="•"/>
      <w:lvlJc w:val="left"/>
      <w:pPr>
        <w:tabs>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714" w:hanging="357"/>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bullet"/>
      <w:suff w:val="tab"/>
      <w:lvlText w:val="•"/>
      <w:lvlJc w:val="left"/>
      <w:pPr>
        <w:tabs>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1077" w:hanging="357"/>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bullet"/>
      <w:suff w:val="tab"/>
      <w:lvlText w:val="•"/>
      <w:lvlJc w:val="left"/>
      <w:pPr>
        <w:tabs>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1797" w:hanging="357"/>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bullet"/>
      <w:suff w:val="tab"/>
      <w:lvlText w:val="•"/>
      <w:lvlJc w:val="left"/>
      <w:pPr>
        <w:tabs>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2517" w:hanging="357"/>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bullet"/>
      <w:suff w:val="tab"/>
      <w:lvlText w:val="•"/>
      <w:lvlJc w:val="left"/>
      <w:pPr>
        <w:tabs>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3237" w:hanging="357"/>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bullet"/>
      <w:suff w:val="tab"/>
      <w:lvlText w:val="•"/>
      <w:lvlJc w:val="left"/>
      <w:pPr>
        <w:tabs>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3957" w:hanging="357"/>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bullet"/>
      <w:suff w:val="tab"/>
      <w:lvlText w:val="•"/>
      <w:lvlJc w:val="left"/>
      <w:pPr>
        <w:tabs>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4677" w:hanging="357"/>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bullet"/>
      <w:suff w:val="tab"/>
      <w:lvlText w:val="•"/>
      <w:lvlJc w:val="left"/>
      <w:pPr>
        <w:tabs>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5397" w:hanging="357"/>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bullet"/>
      <w:suff w:val="tab"/>
      <w:lvlText w:val="•"/>
      <w:lvlJc w:val="left"/>
      <w:pPr>
        <w:tabs>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6117" w:hanging="357"/>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8">
    <w:multiLevelType w:val="hybridMultilevel"/>
    <w:numStyleLink w:val="List 3"/>
  </w:abstractNum>
  <w:abstractNum w:abstractNumId="9">
    <w:multiLevelType w:val="hybridMultilevel"/>
    <w:styleLink w:val="List 3"/>
    <w:lvl w:ilvl="0">
      <w:start w:val="1"/>
      <w:numFmt w:val="decimal"/>
      <w:suff w:val="tab"/>
      <w:lvlText w:val="%1."/>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357" w:hanging="357"/>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suff w:val="tab"/>
      <w:lvlText w:val="%2."/>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1077" w:hanging="357"/>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suff w:val="tab"/>
      <w:lvlText w:val="%3."/>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1797" w:hanging="357"/>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suff w:val="tab"/>
      <w:lvlText w:val="%4."/>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2517" w:hanging="357"/>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suff w:val="tab"/>
      <w:lvlText w:val="%5."/>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3237" w:hanging="357"/>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suff w:val="tab"/>
      <w:lvlText w:val="%6."/>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3957" w:hanging="357"/>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suff w:val="tab"/>
      <w:lvlText w:val="%7."/>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4677" w:hanging="357"/>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suff w:val="tab"/>
      <w:lvlText w:val="%8."/>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5397" w:hanging="357"/>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suff w:val="tab"/>
      <w:lvlText w:val="%9."/>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6117" w:hanging="357"/>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0">
    <w:multiLevelType w:val="hybridMultilevel"/>
    <w:numStyleLink w:val="List 4"/>
  </w:abstractNum>
  <w:abstractNum w:abstractNumId="11">
    <w:multiLevelType w:val="hybridMultilevel"/>
    <w:styleLink w:val="List 4"/>
    <w:lvl w:ilvl="0">
      <w:start w:val="1"/>
      <w:numFmt w:val="lowerRoman"/>
      <w:suff w:val="tab"/>
      <w:lvlText w:val="%1."/>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428" w:hanging="428"/>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sz w:val="22"/>
        <w:szCs w:val="22"/>
        <w:highlight w:val="none"/>
        <w:vertAlign w:val="baseline"/>
      </w:rPr>
    </w:lvl>
    <w:lvl w:ilvl="1">
      <w:start w:val="1"/>
      <w:numFmt w:val="lowerRoman"/>
      <w:suff w:val="tab"/>
      <w:lvlText w:val="%2."/>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1148" w:hanging="428"/>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sz w:val="22"/>
        <w:szCs w:val="22"/>
        <w:highlight w:val="none"/>
        <w:vertAlign w:val="baseline"/>
      </w:rPr>
    </w:lvl>
    <w:lvl w:ilvl="2">
      <w:start w:val="1"/>
      <w:numFmt w:val="lowerRoman"/>
      <w:suff w:val="tab"/>
      <w:lvlText w:val="%3."/>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1868" w:hanging="428"/>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sz w:val="22"/>
        <w:szCs w:val="22"/>
        <w:highlight w:val="none"/>
        <w:vertAlign w:val="baseline"/>
      </w:rPr>
    </w:lvl>
    <w:lvl w:ilvl="3">
      <w:start w:val="1"/>
      <w:numFmt w:val="lowerRoman"/>
      <w:suff w:val="tab"/>
      <w:lvlText w:val="%4."/>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2588" w:hanging="428"/>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sz w:val="22"/>
        <w:szCs w:val="22"/>
        <w:highlight w:val="none"/>
        <w:vertAlign w:val="baseline"/>
      </w:rPr>
    </w:lvl>
    <w:lvl w:ilvl="4">
      <w:start w:val="1"/>
      <w:numFmt w:val="lowerRoman"/>
      <w:suff w:val="tab"/>
      <w:lvlText w:val="%5."/>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3308" w:hanging="428"/>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sz w:val="22"/>
        <w:szCs w:val="22"/>
        <w:highlight w:val="none"/>
        <w:vertAlign w:val="baseline"/>
      </w:rPr>
    </w:lvl>
    <w:lvl w:ilvl="5">
      <w:start w:val="1"/>
      <w:numFmt w:val="lowerRoman"/>
      <w:suff w:val="tab"/>
      <w:lvlText w:val="%6."/>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4028" w:hanging="428"/>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sz w:val="22"/>
        <w:szCs w:val="22"/>
        <w:highlight w:val="none"/>
        <w:vertAlign w:val="baseline"/>
      </w:rPr>
    </w:lvl>
    <w:lvl w:ilvl="6">
      <w:start w:val="1"/>
      <w:numFmt w:val="lowerRoman"/>
      <w:suff w:val="tab"/>
      <w:lvlText w:val="%7."/>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4748" w:hanging="428"/>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sz w:val="22"/>
        <w:szCs w:val="22"/>
        <w:highlight w:val="none"/>
        <w:vertAlign w:val="baseline"/>
      </w:rPr>
    </w:lvl>
    <w:lvl w:ilvl="7">
      <w:start w:val="1"/>
      <w:numFmt w:val="lowerRoman"/>
      <w:suff w:val="tab"/>
      <w:lvlText w:val="%8."/>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5468" w:hanging="428"/>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sz w:val="22"/>
        <w:szCs w:val="22"/>
        <w:highlight w:val="none"/>
        <w:vertAlign w:val="baseline"/>
      </w:rPr>
    </w:lvl>
    <w:lvl w:ilvl="8">
      <w:start w:val="1"/>
      <w:numFmt w:val="lowerRoman"/>
      <w:suff w:val="tab"/>
      <w:lvlText w:val="%9."/>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6188" w:hanging="428"/>
      </w:pPr>
      <w:rPr>
        <w:rFonts w:ascii="Arial" w:cs="Arial" w:hAnsi="Arial" w:eastAsia="Arial"/>
        <w:b w:val="0"/>
        <w:bCs w:val="0"/>
        <w:i w:val="0"/>
        <w:iCs w:val="0"/>
        <w:caps w:val="0"/>
        <w:smallCaps w:val="0"/>
        <w:strike w:val="0"/>
        <w:dstrike w:val="0"/>
        <w:outline w:val="0"/>
        <w:emboss w:val="0"/>
        <w:imprint w:val="0"/>
        <w:color w:val="000000"/>
        <w:spacing w:val="0"/>
        <w:w w:val="100"/>
        <w:kern w:val="0"/>
        <w:position w:val="0"/>
        <w:sz w:val="22"/>
        <w:szCs w:val="22"/>
        <w:highlight w:val="none"/>
        <w:vertAlign w:val="baseline"/>
      </w:rPr>
    </w:lvl>
  </w:abstractNum>
  <w:num w:numId="1">
    <w:abstractNumId w:val="1"/>
  </w:num>
  <w:num w:numId="2">
    <w:abstractNumId w:val="0"/>
  </w:num>
  <w:num w:numId="3">
    <w:abstractNumId w:val="3"/>
  </w:num>
  <w:num w:numId="4">
    <w:abstractNumId w:val="2"/>
  </w:num>
  <w:num w:numId="5">
    <w:abstractNumId w:val="2"/>
    <w:lvlOverride w:ilvl="0">
      <w:lvl w:ilvl="0">
        <w:start w:val="1"/>
        <w:numFmt w:val="bullet"/>
        <w:suff w:val="tab"/>
        <w:lvlText w:val="•"/>
        <w:lvlJc w:val="left"/>
        <w:pPr>
          <w:ind w:left="560" w:hanging="360"/>
        </w:pPr>
        <w:rPr>
          <w:rFonts w:ascii="Open Sans" w:cs="Open Sans" w:hAnsi="Open Sans" w:eastAsia="Open San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bullet"/>
        <w:suff w:val="tab"/>
        <w:lvlText w:val="•"/>
        <w:lvlJc w:val="left"/>
        <w:pPr>
          <w:ind w:left="1080" w:hanging="360"/>
        </w:pPr>
        <w:rPr>
          <w:rFonts w:ascii="Open Sans" w:cs="Open Sans" w:hAnsi="Open Sans" w:eastAsia="Open San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bullet"/>
        <w:suff w:val="tab"/>
        <w:lvlText w:val="•"/>
        <w:lvlJc w:val="left"/>
        <w:pPr>
          <w:tabs>
            <w:tab w:val="clear" w:pos="1701"/>
          </w:tabs>
          <w:ind w:left="1800" w:hanging="360"/>
        </w:pPr>
        <w:rPr>
          <w:rFonts w:ascii="Open Sans" w:cs="Open Sans" w:hAnsi="Open Sans" w:eastAsia="Open San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bullet"/>
        <w:suff w:val="tab"/>
        <w:lvlText w:val="•"/>
        <w:lvlJc w:val="left"/>
        <w:pPr>
          <w:ind w:left="2520" w:hanging="360"/>
        </w:pPr>
        <w:rPr>
          <w:rFonts w:ascii="Open Sans" w:cs="Open Sans" w:hAnsi="Open Sans" w:eastAsia="Open San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bullet"/>
        <w:suff w:val="tab"/>
        <w:lvlText w:val="•"/>
        <w:lvlJc w:val="left"/>
        <w:pPr>
          <w:ind w:left="3240" w:hanging="360"/>
        </w:pPr>
        <w:rPr>
          <w:rFonts w:ascii="Open Sans" w:cs="Open Sans" w:hAnsi="Open Sans" w:eastAsia="Open San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bullet"/>
        <w:suff w:val="tab"/>
        <w:lvlText w:val="•"/>
        <w:lvlJc w:val="left"/>
        <w:pPr>
          <w:ind w:left="3960" w:hanging="360"/>
        </w:pPr>
        <w:rPr>
          <w:rFonts w:ascii="Open Sans" w:cs="Open Sans" w:hAnsi="Open Sans" w:eastAsia="Open San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bullet"/>
        <w:suff w:val="tab"/>
        <w:lvlText w:val="•"/>
        <w:lvlJc w:val="left"/>
        <w:pPr>
          <w:ind w:left="4680" w:hanging="360"/>
        </w:pPr>
        <w:rPr>
          <w:rFonts w:ascii="Open Sans" w:cs="Open Sans" w:hAnsi="Open Sans" w:eastAsia="Open San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bullet"/>
        <w:suff w:val="tab"/>
        <w:lvlText w:val="•"/>
        <w:lvlJc w:val="left"/>
        <w:pPr>
          <w:ind w:left="5400" w:hanging="360"/>
        </w:pPr>
        <w:rPr>
          <w:rFonts w:ascii="Open Sans" w:cs="Open Sans" w:hAnsi="Open Sans" w:eastAsia="Open San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bullet"/>
        <w:suff w:val="tab"/>
        <w:lvlText w:val="•"/>
        <w:lvlJc w:val="left"/>
        <w:pPr>
          <w:ind w:left="6120" w:hanging="360"/>
        </w:pPr>
        <w:rPr>
          <w:rFonts w:ascii="Open Sans" w:cs="Open Sans" w:hAnsi="Open Sans" w:eastAsia="Open San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6">
    <w:abstractNumId w:val="0"/>
    <w:lvlOverride w:ilvl="0">
      <w:startOverride w:val="1"/>
      <w:lvl w:ilvl="0">
        <w:start w:val="1"/>
        <w:numFmt w:val="decimal"/>
        <w:suff w:val="tab"/>
        <w:lvlText w:val="%1."/>
        <w:lvlJc w:val="left"/>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 w:val="clear" w:pos="1701"/>
          </w:tabs>
          <w:ind w:left="340" w:hanging="3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2."/>
        <w:lvlJc w:val="left"/>
        <w:pPr>
          <w:tabs>
            <w:tab w:val="left" w:pos="34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 w:val="clear" w:pos="1701"/>
          </w:tabs>
          <w:ind w:left="1060" w:hanging="3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tabs>
            <w:tab w:val="left" w:pos="34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 w:val="clear" w:pos="1701"/>
          </w:tabs>
          <w:ind w:left="1780" w:hanging="3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tabs>
            <w:tab w:val="left" w:pos="34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 w:val="clear" w:pos="1701"/>
          </w:tabs>
          <w:ind w:left="2500" w:hanging="3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tabs>
            <w:tab w:val="left" w:pos="34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 w:val="clear" w:pos="1701"/>
          </w:tabs>
          <w:ind w:left="3220" w:hanging="3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tabs>
            <w:tab w:val="left" w:pos="34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 w:val="clear" w:pos="1701"/>
          </w:tabs>
          <w:ind w:left="3940" w:hanging="3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tabs>
            <w:tab w:val="left" w:pos="34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 w:val="clear" w:pos="1701"/>
          </w:tabs>
          <w:ind w:left="4660" w:hanging="3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tabs>
            <w:tab w:val="left" w:pos="34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 w:val="clear" w:pos="1701"/>
          </w:tabs>
          <w:ind w:left="5380" w:hanging="3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tabs>
            <w:tab w:val="left" w:pos="34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 w:val="clear" w:pos="1701"/>
          </w:tabs>
          <w:ind w:left="6100" w:hanging="3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
    <w:abstractNumId w:val="5"/>
  </w:num>
  <w:num w:numId="8">
    <w:abstractNumId w:val="4"/>
  </w:num>
  <w:num w:numId="9">
    <w:abstractNumId w:val="7"/>
  </w:num>
  <w:num w:numId="10">
    <w:abstractNumId w:val="6"/>
  </w:num>
  <w:num w:numId="11">
    <w:abstractNumId w:val="9"/>
  </w:num>
  <w:num w:numId="12">
    <w:abstractNumId w:val="8"/>
  </w:num>
  <w:num w:numId="13">
    <w:abstractNumId w:val="8"/>
    <w:lvlOverride w:ilvl="0">
      <w:startOverride w:val="4"/>
    </w:lvlOverride>
  </w:num>
  <w:num w:numId="14">
    <w:abstractNumId w:val="11"/>
  </w:num>
  <w:num w:numId="15">
    <w:abstractNumId w:val="1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1"/>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color="000000"/>
      <w:vertAlign w:val="baseline"/>
      <w14:textOutline w14:w="12700" w14:cap="flat">
        <w14:noFill/>
        <w14:miter w14:lim="400000"/>
      </w14:textOutline>
      <w14:textFill>
        <w14:solidFill>
          <w14:srgbClr w14:val="000000"/>
        </w14:solidFill>
      </w14:textFill>
    </w:rPr>
  </w:style>
  <w:style w:type="paragraph" w:styleId="Body A">
    <w:name w:val="Body A"/>
    <w:next w:val="Body A"/>
    <w:pPr>
      <w:keepNext w:val="0"/>
      <w:keepLines w:val="0"/>
      <w:pageBreakBefore w:val="0"/>
      <w:widowControl w:val="1"/>
      <w:shd w:val="clear" w:color="auto" w:fill="auto"/>
      <w:tabs>
        <w:tab w:val="left" w:pos="1701"/>
      </w:tabs>
      <w:suppressAutoHyphens w:val="0"/>
      <w:bidi w:val="0"/>
      <w:spacing w:before="0" w:after="0" w:line="360" w:lineRule="auto"/>
      <w:ind w:left="0" w:right="0" w:firstLine="0"/>
      <w:jc w:val="left"/>
      <w:outlineLvl w:val="9"/>
    </w:pPr>
    <w:rPr>
      <w:rFonts w:ascii="Open Sans" w:cs="Arial Unicode MS" w:hAnsi="Open Sans" w:eastAsia="Arial Unicode MS"/>
      <w:b w:val="1"/>
      <w:bCs w:val="1"/>
      <w:i w:val="0"/>
      <w:iCs w:val="0"/>
      <w:caps w:val="0"/>
      <w:smallCaps w:val="0"/>
      <w:strike w:val="0"/>
      <w:dstrike w:val="0"/>
      <w:outline w:val="0"/>
      <w:color w:val="d82042"/>
      <w:spacing w:val="0"/>
      <w:kern w:val="0"/>
      <w:position w:val="0"/>
      <w:sz w:val="28"/>
      <w:szCs w:val="28"/>
      <w:u w:val="none" w:color="d82042"/>
      <w:vertAlign w:val="baseline"/>
      <w:lang w:val="en-US"/>
      <w14:textOutline w14:w="12700" w14:cap="flat">
        <w14:noFill/>
        <w14:miter w14:lim="400000"/>
      </w14:textOutline>
      <w14:textFill>
        <w14:solidFill>
          <w14:srgbClr w14:val="D82042"/>
        </w14:solidFill>
      </w14:textFill>
    </w:rPr>
  </w:style>
  <w:style w:type="character" w:styleId="None">
    <w:name w:val="None"/>
  </w:style>
  <w:style w:type="character" w:styleId="Hyperlink.0">
    <w:name w:val="Hyperlink.0"/>
    <w:basedOn w:val="None"/>
    <w:next w:val="Hyperlink.0"/>
    <w:rPr>
      <w:rFonts w:ascii="Open Sans" w:cs="Open Sans" w:hAnsi="Open Sans" w:eastAsia="Open Sans"/>
      <w:outline w:val="0"/>
      <w:color w:val="011993"/>
      <w:sz w:val="24"/>
      <w:szCs w:val="24"/>
      <w:u w:val="single" w:color="011993"/>
      <w14:textFill>
        <w14:solidFill>
          <w14:srgbClr w14:val="011993"/>
        </w14:solidFill>
      </w14:textFill>
    </w:rPr>
  </w:style>
  <w:style w:type="numbering" w:styleId="Imported Style 1">
    <w:name w:val="Imported Style 1"/>
    <w:pPr>
      <w:numPr>
        <w:numId w:val="1"/>
      </w:numPr>
    </w:pPr>
  </w:style>
  <w:style w:type="numbering" w:styleId="Imported Style 2">
    <w:name w:val="Imported Style 2"/>
    <w:pPr>
      <w:numPr>
        <w:numId w:val="3"/>
      </w:numPr>
    </w:p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color="000000"/>
      <w:vertAlign w:val="baseline"/>
      <w14:textOutline w14:w="12700" w14:cap="flat">
        <w14:noFill/>
        <w14:miter w14:lim="400000"/>
      </w14:textOutline>
      <w14:textFill>
        <w14:solidFill>
          <w14:srgbClr w14:val="000000"/>
        </w14:solidFill>
      </w14:textFill>
    </w:rPr>
  </w:style>
  <w:style w:type="numbering" w:styleId="List 1">
    <w:name w:val="List 1"/>
    <w:pPr>
      <w:numPr>
        <w:numId w:val="7"/>
      </w:numPr>
    </w:pPr>
  </w:style>
  <w:style w:type="numbering" w:styleId="List 2">
    <w:name w:val="List 2"/>
    <w:pPr>
      <w:numPr>
        <w:numId w:val="9"/>
      </w:numPr>
    </w:pPr>
  </w:style>
  <w:style w:type="numbering" w:styleId="List 3">
    <w:name w:val="List 3"/>
    <w:pPr>
      <w:numPr>
        <w:numId w:val="11"/>
      </w:numPr>
    </w:pPr>
  </w:style>
  <w:style w:type="numbering" w:styleId="List 4">
    <w:name w:val="List 4"/>
    <w:pPr>
      <w:numPr>
        <w:numId w:val="14"/>
      </w:numPr>
    </w:pPr>
  </w:style>
  <w:style w:type="character" w:styleId="Hyperlink.1">
    <w:name w:val="Hyperlink.1"/>
    <w:basedOn w:val="None"/>
    <w:next w:val="Hyperlink.1"/>
    <w:rPr>
      <w:outline w:val="0"/>
      <w:color w:val="000099"/>
      <w:u w:val="single" w:color="000099"/>
      <w:lang w:val="en-US"/>
      <w14:textFill>
        <w14:solidFill>
          <w14:srgbClr w14:val="000099"/>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jpe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